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rsidRPr="004466CC" w14:paraId="23AC7A4E" w14:textId="77777777">
        <w:tc>
          <w:tcPr>
            <w:tcW w:w="3915" w:type="dxa"/>
          </w:tcPr>
          <w:p w14:paraId="730FA49D" w14:textId="77777777" w:rsidR="00DE1913" w:rsidRPr="004466CC" w:rsidRDefault="003B2B73">
            <w:pPr>
              <w:widowControl w:val="0"/>
              <w:spacing w:after="0"/>
              <w:rPr>
                <w:rFonts w:ascii="Work Sans" w:hAnsi="Work Sans"/>
                <w:sz w:val="17"/>
                <w:szCs w:val="17"/>
                <w:lang w:val="pt-BR"/>
              </w:rPr>
            </w:pPr>
            <w:r w:rsidRPr="004466CC">
              <w:rPr>
                <w:rFonts w:ascii="Work Sans" w:hAnsi="Work Sans"/>
                <w:sz w:val="17"/>
                <w:szCs w:val="17"/>
                <w:lang w:val="pt-BR"/>
              </w:rPr>
              <w:t>Código validación comunicación: cod_val_rad</w:t>
            </w:r>
          </w:p>
        </w:tc>
        <w:tc>
          <w:tcPr>
            <w:tcW w:w="5451" w:type="dxa"/>
          </w:tcPr>
          <w:p w14:paraId="3A2B2162" w14:textId="77777777" w:rsidR="00DE1913" w:rsidRPr="004466CC" w:rsidRDefault="003B2B73">
            <w:pPr>
              <w:widowControl w:val="0"/>
              <w:spacing w:after="0"/>
              <w:jc w:val="right"/>
              <w:rPr>
                <w:rFonts w:ascii="Work Sans" w:hAnsi="Work Sans"/>
                <w:sz w:val="17"/>
                <w:szCs w:val="17"/>
                <w:lang w:val="pt-BR"/>
              </w:rPr>
            </w:pPr>
            <w:r w:rsidRPr="004466CC">
              <w:rPr>
                <w:rFonts w:ascii="Work Sans" w:hAnsi="Work Sans"/>
                <w:sz w:val="17"/>
                <w:szCs w:val="17"/>
                <w:lang w:val="pt-BR"/>
              </w:rPr>
              <w:t>Código Dependencia: depe_var</w:t>
            </w:r>
          </w:p>
        </w:tc>
      </w:tr>
      <w:tr w:rsidR="00DE1913" w:rsidRPr="004466CC" w14:paraId="566C62F5" w14:textId="77777777">
        <w:tc>
          <w:tcPr>
            <w:tcW w:w="3915" w:type="dxa"/>
          </w:tcPr>
          <w:p w14:paraId="2ADCC3AD" w14:textId="77777777" w:rsidR="00DE1913" w:rsidRPr="004466CC" w:rsidRDefault="003B2B73">
            <w:pPr>
              <w:widowControl w:val="0"/>
              <w:spacing w:after="0"/>
              <w:rPr>
                <w:rFonts w:ascii="Work Sans" w:hAnsi="Work Sans"/>
                <w:sz w:val="17"/>
                <w:szCs w:val="17"/>
                <w:lang w:val="pt-BR"/>
              </w:rPr>
            </w:pPr>
            <w:r w:rsidRPr="004466CC">
              <w:rPr>
                <w:rFonts w:ascii="Work Sans" w:hAnsi="Work Sans"/>
                <w:sz w:val="17"/>
                <w:szCs w:val="17"/>
                <w:lang w:val="pt-BR"/>
              </w:rPr>
              <w:t>cod_exp</w:t>
            </w:r>
            <w:r w:rsidRPr="004466CC">
              <w:rPr>
                <w:rFonts w:ascii="Work Sans" w:hAnsi="Work Sans"/>
                <w:sz w:val="17"/>
                <w:szCs w:val="17"/>
                <w:lang w:val="pt-BR"/>
              </w:rPr>
              <w:br/>
              <w:t>cod_val_exp</w:t>
            </w:r>
          </w:p>
        </w:tc>
        <w:tc>
          <w:tcPr>
            <w:tcW w:w="5451" w:type="dxa"/>
          </w:tcPr>
          <w:p w14:paraId="724B864E" w14:textId="77777777" w:rsidR="00DE1913" w:rsidRPr="004466CC" w:rsidRDefault="003B2B73">
            <w:pPr>
              <w:widowControl w:val="0"/>
              <w:spacing w:after="0"/>
              <w:jc w:val="right"/>
              <w:rPr>
                <w:rFonts w:ascii="Work Sans" w:hAnsi="Work Sans"/>
                <w:sz w:val="17"/>
                <w:szCs w:val="17"/>
              </w:rPr>
            </w:pPr>
            <w:r w:rsidRPr="004466CC">
              <w:rPr>
                <w:rFonts w:ascii="Work Sans" w:eastAsia="Times New Roman" w:hAnsi="Work Sans" w:cs="Times New Roman"/>
                <w:sz w:val="17"/>
                <w:szCs w:val="17"/>
                <w:lang w:val="pt-BR" w:eastAsia="es-ES"/>
              </w:rPr>
              <w:t>Acceso: Reservado (ac_res), Público (ac_pub), Clasificado (ac_cla)</w:t>
            </w:r>
          </w:p>
        </w:tc>
      </w:tr>
    </w:tbl>
    <w:p w14:paraId="171D3E54" w14:textId="77777777" w:rsidR="00DE1913" w:rsidRPr="004466CC" w:rsidRDefault="00DE1913">
      <w:pPr>
        <w:ind w:right="49"/>
        <w:rPr>
          <w:rFonts w:ascii="Work Sans ExtraLight" w:hAnsi="Work Sans ExtraLight"/>
          <w:sz w:val="16"/>
          <w:lang w:val="pt-BR"/>
        </w:rPr>
      </w:pPr>
    </w:p>
    <w:p w14:paraId="57ECD084" w14:textId="77777777" w:rsidR="00DE1913" w:rsidRPr="004466CC" w:rsidRDefault="003B2B73">
      <w:pPr>
        <w:spacing w:after="0"/>
        <w:rPr>
          <w:rFonts w:ascii="Work Sans" w:hAnsi="Work Sans"/>
          <w:sz w:val="24"/>
          <w:szCs w:val="24"/>
          <w:lang w:val="pt-BR"/>
        </w:rPr>
      </w:pPr>
      <w:r w:rsidRPr="004466CC">
        <w:rPr>
          <w:rFonts w:ascii="Work Sans" w:hAnsi="Work Sans"/>
          <w:sz w:val="24"/>
          <w:szCs w:val="24"/>
          <w:lang w:val="pt-BR"/>
        </w:rPr>
        <w:t>Bogotá, D.C.</w:t>
      </w:r>
    </w:p>
    <w:p w14:paraId="3308340B" w14:textId="77777777" w:rsidR="00DE1913" w:rsidRPr="004466CC" w:rsidRDefault="00DE1913">
      <w:pPr>
        <w:spacing w:after="0"/>
        <w:rPr>
          <w:rFonts w:ascii="Work Sans" w:hAnsi="Work Sans" w:cs="Arial"/>
          <w:sz w:val="24"/>
          <w:szCs w:val="24"/>
        </w:rPr>
      </w:pPr>
    </w:p>
    <w:p w14:paraId="5CC14689" w14:textId="77777777" w:rsidR="00DE1913" w:rsidRPr="004466CC" w:rsidRDefault="003B2B73">
      <w:pPr>
        <w:spacing w:after="0"/>
        <w:rPr>
          <w:rFonts w:ascii="Work Sans" w:hAnsi="Work Sans"/>
          <w:sz w:val="24"/>
          <w:szCs w:val="24"/>
        </w:rPr>
      </w:pPr>
      <w:r w:rsidRPr="004466CC">
        <w:rPr>
          <w:rFonts w:ascii="Work Sans" w:hAnsi="Work Sans"/>
          <w:sz w:val="24"/>
          <w:szCs w:val="24"/>
        </w:rPr>
        <w:t>encabezado</w:t>
      </w:r>
    </w:p>
    <w:p w14:paraId="7DBBECFA" w14:textId="77777777" w:rsidR="00DE1913" w:rsidRPr="004466CC" w:rsidRDefault="003B2B73">
      <w:pPr>
        <w:spacing w:after="0"/>
        <w:rPr>
          <w:rFonts w:ascii="Work Sans" w:hAnsi="Work Sans"/>
          <w:sz w:val="24"/>
          <w:szCs w:val="24"/>
          <w:lang w:val="es-ES"/>
        </w:rPr>
      </w:pPr>
      <w:proofErr w:type="spellStart"/>
      <w:r w:rsidRPr="004466CC">
        <w:rPr>
          <w:rFonts w:ascii="Work Sans" w:hAnsi="Work Sans" w:cs="Arial"/>
          <w:b/>
          <w:bCs/>
          <w:sz w:val="24"/>
          <w:szCs w:val="24"/>
        </w:rPr>
        <w:t>nombredestinatario</w:t>
      </w:r>
      <w:proofErr w:type="spellEnd"/>
      <w:r w:rsidRPr="004466CC">
        <w:rPr>
          <w:rFonts w:ascii="Work Sans" w:hAnsi="Work Sans"/>
          <w:sz w:val="24"/>
          <w:szCs w:val="24"/>
        </w:rPr>
        <w:br/>
      </w:r>
      <w:proofErr w:type="spellStart"/>
      <w:r w:rsidRPr="004466CC">
        <w:rPr>
          <w:rFonts w:ascii="Work Sans" w:hAnsi="Work Sans"/>
          <w:sz w:val="24"/>
          <w:szCs w:val="24"/>
        </w:rPr>
        <w:t>dir_r</w:t>
      </w:r>
      <w:proofErr w:type="spellEnd"/>
      <w:r w:rsidRPr="004466CC">
        <w:rPr>
          <w:rFonts w:ascii="Work Sans" w:hAnsi="Work Sans"/>
          <w:sz w:val="24"/>
          <w:szCs w:val="24"/>
        </w:rPr>
        <w:br/>
      </w:r>
      <w:proofErr w:type="spellStart"/>
      <w:r w:rsidRPr="004466CC">
        <w:rPr>
          <w:rFonts w:ascii="Work Sans" w:hAnsi="Work Sans"/>
          <w:sz w:val="24"/>
          <w:szCs w:val="24"/>
          <w:lang w:val="es-ES"/>
        </w:rPr>
        <w:t>muni_r</w:t>
      </w:r>
      <w:proofErr w:type="spellEnd"/>
      <w:r w:rsidRPr="004466CC">
        <w:rPr>
          <w:rFonts w:ascii="Work Sans" w:hAnsi="Work Sans"/>
          <w:sz w:val="24"/>
          <w:szCs w:val="24"/>
          <w:lang w:val="es-ES"/>
        </w:rPr>
        <w:t xml:space="preserve"> </w:t>
      </w:r>
      <w:proofErr w:type="spellStart"/>
      <w:r w:rsidRPr="004466CC">
        <w:rPr>
          <w:rFonts w:ascii="Work Sans" w:hAnsi="Work Sans"/>
          <w:sz w:val="24"/>
          <w:szCs w:val="24"/>
          <w:lang w:val="es-ES"/>
        </w:rPr>
        <w:t>depto_r</w:t>
      </w:r>
      <w:proofErr w:type="spellEnd"/>
    </w:p>
    <w:p w14:paraId="2D7F32A6" w14:textId="77777777" w:rsidR="00DE1913" w:rsidRPr="004466CC" w:rsidRDefault="00DE1913">
      <w:pPr>
        <w:pStyle w:val="Textoindependiente"/>
        <w:ind w:right="40"/>
        <w:rPr>
          <w:rFonts w:ascii="Work Sans" w:hAnsi="Work Sans"/>
          <w:szCs w:val="24"/>
        </w:rPr>
      </w:pPr>
    </w:p>
    <w:p w14:paraId="03C6DFA7" w14:textId="77777777" w:rsidR="00DE1913" w:rsidRPr="004466CC" w:rsidRDefault="003B2B73" w:rsidP="00FA439A">
      <w:pPr>
        <w:pStyle w:val="Textoindependiente"/>
        <w:ind w:left="993" w:right="40" w:hanging="993"/>
        <w:jc w:val="left"/>
        <w:rPr>
          <w:rFonts w:ascii="Work Sans" w:hAnsi="Work Sans"/>
          <w:szCs w:val="24"/>
        </w:rPr>
      </w:pPr>
      <w:r w:rsidRPr="004466CC">
        <w:rPr>
          <w:rFonts w:ascii="Work Sans" w:hAnsi="Work Sans"/>
          <w:szCs w:val="24"/>
        </w:rPr>
        <w:t xml:space="preserve">Asunto: </w:t>
      </w:r>
      <w:r w:rsidRPr="004466CC">
        <w:rPr>
          <w:rFonts w:ascii="Work Sans" w:hAnsi="Work Sans"/>
          <w:szCs w:val="24"/>
        </w:rPr>
        <w:tab/>
      </w:r>
      <w:proofErr w:type="spellStart"/>
      <w:r w:rsidRPr="004466CC">
        <w:rPr>
          <w:rFonts w:ascii="Work Sans" w:hAnsi="Work Sans"/>
          <w:szCs w:val="24"/>
        </w:rPr>
        <w:t>r_asunto</w:t>
      </w:r>
      <w:proofErr w:type="spellEnd"/>
    </w:p>
    <w:p w14:paraId="7F7EB8DF" w14:textId="77777777" w:rsidR="00DE1913" w:rsidRPr="004466CC" w:rsidRDefault="00DE1913">
      <w:pPr>
        <w:pStyle w:val="Textoindependiente"/>
        <w:ind w:right="40"/>
        <w:rPr>
          <w:rFonts w:ascii="Work Sans" w:hAnsi="Work Sans"/>
          <w:szCs w:val="24"/>
        </w:rPr>
      </w:pPr>
    </w:p>
    <w:p w14:paraId="48BE9B76" w14:textId="77777777" w:rsidR="00FC128E" w:rsidRPr="004466CC" w:rsidRDefault="00FC128E" w:rsidP="00FC128E">
      <w:pPr>
        <w:jc w:val="both"/>
        <w:rPr>
          <w:rFonts w:ascii="Work Sans" w:eastAsia="Arial" w:hAnsi="Work Sans" w:cs="Arial"/>
        </w:rPr>
      </w:pPr>
    </w:p>
    <w:p w14:paraId="05457DA2" w14:textId="11997F8A" w:rsidR="00FC128E" w:rsidRPr="004466CC" w:rsidRDefault="00FC128E" w:rsidP="00FC128E">
      <w:pPr>
        <w:jc w:val="both"/>
        <w:rPr>
          <w:rFonts w:ascii="Work Sans" w:eastAsia="Arial" w:hAnsi="Work Sans" w:cs="Arial"/>
        </w:rPr>
      </w:pPr>
      <w:r w:rsidRPr="004466CC">
        <w:rPr>
          <w:rFonts w:ascii="Work Sans" w:eastAsia="Arial" w:hAnsi="Work Sans" w:cs="Arial"/>
        </w:rPr>
        <w:t>Estimado Director.</w:t>
      </w:r>
    </w:p>
    <w:p w14:paraId="0ED5C306" w14:textId="0A13A097" w:rsidR="00FC128E" w:rsidRPr="004466CC" w:rsidRDefault="00FC128E" w:rsidP="00FC128E">
      <w:pPr>
        <w:jc w:val="both"/>
        <w:rPr>
          <w:rFonts w:ascii="Work Sans" w:eastAsia="Arial" w:hAnsi="Work Sans" w:cs="Arial"/>
        </w:rPr>
      </w:pPr>
      <w:r w:rsidRPr="004466CC">
        <w:rPr>
          <w:rFonts w:ascii="Work Sans" w:eastAsia="Arial" w:hAnsi="Work Sans" w:cs="Arial"/>
        </w:rPr>
        <w:t xml:space="preserve">En atención a la comunicación radicada No. 20263000005811 del 31 de marzo de 2026, mediante la cual FENOGE remite el modelo financiero de la referencia como insumo para la evaluación de la sostenibilidad económica del esquema de Administración, Operación y Mantenimiento (AOM) de la granja solar fotovoltaica del municipio de San Antonio de Palmito, </w:t>
      </w:r>
      <w:r w:rsidRPr="004466CC">
        <w:rPr>
          <w:rFonts w:ascii="Work Sans" w:eastAsia="Arial" w:hAnsi="Work Sans" w:cs="Arial"/>
        </w:rPr>
        <w:t>me permito</w:t>
      </w:r>
      <w:r w:rsidRPr="004466CC">
        <w:rPr>
          <w:rFonts w:ascii="Work Sans" w:eastAsia="Arial" w:hAnsi="Work Sans" w:cs="Arial"/>
        </w:rPr>
        <w:t xml:space="preserve"> presentar algunas precisiones institucionales, técnicas y regulatorias orientadas a asegurar que dicha evaluación se desarrolle en concordancia con el esquema regulatorio aplicable y con los objetivos de política pública que sustentan el proyecto, particularmente en materia de transición energética justa, democratización del acceso a la energía, reducción de subsidios y sostenibilidad del activo,  acorde con los lineamientos de la Ley 2294 de 2023.</w:t>
      </w:r>
    </w:p>
    <w:p w14:paraId="39A783D6" w14:textId="77777777" w:rsidR="00FC128E" w:rsidRPr="004466CC" w:rsidRDefault="00FC128E" w:rsidP="00FC128E">
      <w:pPr>
        <w:jc w:val="both"/>
        <w:rPr>
          <w:rFonts w:ascii="Work Sans" w:eastAsia="Arial" w:hAnsi="Work Sans" w:cs="Arial"/>
        </w:rPr>
      </w:pPr>
      <w:r w:rsidRPr="004466CC">
        <w:rPr>
          <w:rFonts w:ascii="Work Sans" w:eastAsia="Arial" w:hAnsi="Work Sans" w:cs="Arial"/>
        </w:rPr>
        <w:t xml:space="preserve">Bajo ese contexto, resulta necesario precisar, con carácter  preliminar, que el esquema objeto de análisis se origina a partir de la estructuración de la  de la Actividad de Fomento, Promoción, Estímulo e Incentivo </w:t>
      </w:r>
      <w:r w:rsidRPr="004466CC">
        <w:rPr>
          <w:rFonts w:ascii="Work Sans" w:eastAsia="Arial" w:hAnsi="Work Sans" w:cs="Arial"/>
          <w:i/>
          <w:iCs/>
        </w:rPr>
        <w:t>“Energía Solar para Población Vulnerable”,</w:t>
      </w:r>
      <w:r w:rsidRPr="004466CC">
        <w:rPr>
          <w:rFonts w:ascii="Work Sans" w:eastAsia="Arial" w:hAnsi="Work Sans" w:cs="Arial"/>
        </w:rPr>
        <w:t xml:space="preserve">  por parte del  FENOGE, programa piloto de autogeneración con soluciones solares fotovoltaicas individuales y centralizadas dirigido a usuarios residenciales de estratos 1 y 2, con el propósito  de asegurar la autosostenibilidad de los proyectos en el largo plazo, generar beneficios económicos, sociales y ambientales para la comunidad y producir alivios fiscales para el Estado mediante la disminución en la </w:t>
      </w:r>
      <w:bookmarkStart w:id="0" w:name="_Int_VhJ7VywW"/>
      <w:r w:rsidRPr="004466CC">
        <w:rPr>
          <w:rFonts w:ascii="Work Sans" w:eastAsia="Arial" w:hAnsi="Work Sans" w:cs="Arial"/>
        </w:rPr>
        <w:t>causación</w:t>
      </w:r>
      <w:bookmarkEnd w:id="0"/>
      <w:r w:rsidRPr="004466CC">
        <w:rPr>
          <w:rFonts w:ascii="Work Sans" w:eastAsia="Arial" w:hAnsi="Work Sans" w:cs="Arial"/>
        </w:rPr>
        <w:t xml:space="preserve"> de subsidios.</w:t>
      </w:r>
    </w:p>
    <w:p w14:paraId="6A798D98" w14:textId="77777777" w:rsidR="00FC128E" w:rsidRPr="004466CC" w:rsidRDefault="00FC128E" w:rsidP="00FC128E">
      <w:pPr>
        <w:jc w:val="both"/>
        <w:rPr>
          <w:rFonts w:ascii="Work Sans" w:eastAsia="Arial" w:hAnsi="Work Sans" w:cs="Arial"/>
        </w:rPr>
      </w:pPr>
      <w:r w:rsidRPr="004466CC">
        <w:rPr>
          <w:rFonts w:ascii="Work Sans" w:eastAsia="Arial" w:hAnsi="Work Sans" w:cs="Arial"/>
        </w:rPr>
        <w:lastRenderedPageBreak/>
        <w:t xml:space="preserve">Dentro de dicho alcance se previó además que el esquema permitiera cubrir los costos de Administración, Operación y Mantenimiento mediante la gestión de excedentes de energía </w:t>
      </w:r>
      <w:r w:rsidRPr="004466CC">
        <w:rPr>
          <w:rFonts w:ascii="Work Sans" w:eastAsia="Arial" w:hAnsi="Work Sans" w:cs="Arial"/>
          <w:u w:val="single"/>
        </w:rPr>
        <w:t>y a través de mecanismos de sostenibilidad articulados con la comunidad, juntas de acción comunal, empresas de servicios públicos y entes  territoriales, de manera que constituyera una prueba metodológica o piloto  que permitiera además contar con insumos</w:t>
      </w:r>
      <w:r w:rsidRPr="004466CC">
        <w:rPr>
          <w:rFonts w:ascii="Work Sans" w:eastAsia="Arial" w:hAnsi="Work Sans" w:cs="Arial"/>
        </w:rPr>
        <w:t xml:space="preserve"> técnicos, regulatorios y operativos para evaluar su eventual replicabilidad en otros territorios y esquemas de Comunidades Energéticas</w:t>
      </w:r>
    </w:p>
    <w:p w14:paraId="5439ECCA" w14:textId="36B3C0F8" w:rsidR="00FC128E" w:rsidRPr="004466CC" w:rsidRDefault="00FC128E" w:rsidP="00FC128E">
      <w:pPr>
        <w:jc w:val="both"/>
        <w:rPr>
          <w:rFonts w:ascii="Work Sans" w:eastAsia="Arial" w:hAnsi="Work Sans" w:cs="Arial"/>
        </w:rPr>
      </w:pPr>
      <w:r w:rsidRPr="004466CC">
        <w:rPr>
          <w:rFonts w:ascii="Work Sans" w:eastAsia="Arial" w:hAnsi="Work Sans" w:cs="Arial"/>
        </w:rPr>
        <w:t>Sobre esa base inicial, y en el marco de las competencias del Ministerio como rector de la política pública sectorial, particularmente en materia de formulación de política energética, promoción de Fuentes No Convencionales de Energía Renovable, desarrollo de Comunidades Energéticas y consolidación de la Transición Energética Justa,</w:t>
      </w:r>
      <w:r w:rsidR="00766D00" w:rsidRPr="004466CC">
        <w:rPr>
          <w:rFonts w:ascii="Work Sans" w:eastAsia="Arial" w:hAnsi="Work Sans" w:cs="Arial"/>
        </w:rPr>
        <w:t xml:space="preserve"> </w:t>
      </w:r>
      <w:r w:rsidRPr="004466CC">
        <w:rPr>
          <w:rFonts w:ascii="Work Sans" w:eastAsia="Arial" w:hAnsi="Work Sans" w:cs="Arial"/>
        </w:rPr>
        <w:t xml:space="preserve">el equipo del Ministerio de Minas, revisó conjuntamente con FENOGE el esquema inicialmente propuesto, definiendo los ajustes y mecanismos de fortalecimiento técnico necesarios para asegurar el cumplimiento integral de los fines previstos en </w:t>
      </w:r>
      <w:r w:rsidR="00766D00" w:rsidRPr="004466CC">
        <w:rPr>
          <w:rFonts w:ascii="Work Sans" w:eastAsia="Arial" w:hAnsi="Work Sans" w:cs="Arial"/>
        </w:rPr>
        <w:t>dicha</w:t>
      </w:r>
      <w:r w:rsidRPr="004466CC">
        <w:rPr>
          <w:rFonts w:ascii="Work Sans" w:eastAsia="Arial" w:hAnsi="Work Sans" w:cs="Arial"/>
        </w:rPr>
        <w:t xml:space="preserve"> iniciativa. </w:t>
      </w:r>
    </w:p>
    <w:p w14:paraId="4D795E7C" w14:textId="77777777" w:rsidR="00766D00" w:rsidRPr="004466CC" w:rsidRDefault="00FC128E" w:rsidP="00FC128E">
      <w:pPr>
        <w:jc w:val="both"/>
        <w:rPr>
          <w:rFonts w:ascii="Work Sans" w:eastAsia="Arial" w:hAnsi="Work Sans" w:cs="Arial"/>
        </w:rPr>
      </w:pPr>
      <w:r w:rsidRPr="004466CC">
        <w:rPr>
          <w:rFonts w:ascii="Work Sans" w:eastAsia="Arial" w:hAnsi="Work Sans" w:cs="Arial"/>
        </w:rPr>
        <w:t xml:space="preserve">En ese sentido,  se avanzó en la estructuración de un modelo de Autogeneración Colectiva (AGRC),   articulado dentro del  marco de Comunidades Energéticas previsto en el Decreto 2236 de 2023 y desarrollado regulatoriamente en la Resolución CREG 174 de 2021 y la Resolución CREG 101072 de 2025, como el mecanismo que permite materializar de forma efectiva  una disminución de valor a pagar por los usuarios de población vulnerable,  la reducción de subsidios,    así como la sostenibilidad operativa financiera y social del proyecto en el largo plazo, sobre una </w:t>
      </w:r>
      <w:r w:rsidRPr="004466CC">
        <w:rPr>
          <w:rFonts w:ascii="Work Sans" w:eastAsia="Arial" w:hAnsi="Work Sans" w:cs="Arial"/>
          <w:i/>
          <w:iCs/>
        </w:rPr>
        <w:t xml:space="preserve">fuerte base de gestión comunitaria  que permite vincula a los  usuarios y actores territoriales  </w:t>
      </w:r>
      <w:r w:rsidRPr="004466CC">
        <w:rPr>
          <w:rFonts w:ascii="Work Sans" w:eastAsia="Arial" w:hAnsi="Work Sans" w:cs="Arial"/>
        </w:rPr>
        <w:t xml:space="preserve">en la  participación o gestión de los excedentes de la energía y  en la sostenibilidad del activo, conforme a sus capacidades y competencias,  fortaleciendo el tejido social, la gobernanza local y la replicabilidad del modelo. </w:t>
      </w:r>
    </w:p>
    <w:p w14:paraId="4D3DE2CA" w14:textId="28FEAE81" w:rsidR="00FC128E" w:rsidRPr="004466CC" w:rsidRDefault="00FC128E" w:rsidP="00FC128E">
      <w:pPr>
        <w:jc w:val="both"/>
        <w:rPr>
          <w:rFonts w:ascii="Work Sans" w:eastAsia="Arial" w:hAnsi="Work Sans" w:cs="Arial"/>
        </w:rPr>
      </w:pPr>
      <w:r w:rsidRPr="004466CC">
        <w:rPr>
          <w:rFonts w:ascii="Work Sans" w:eastAsia="Arial" w:hAnsi="Work Sans" w:cs="Arial"/>
        </w:rPr>
        <w:t xml:space="preserve">Por lo tanto, la evaluación financiera del esquema no puede analizarse de manera aislada ni bajo la lógica de un flujo de caja convencional propio de esquemas de generación distribuida tradicional autogeneración remota, sino que debe guardar plena coherencia con el esquema regulatorio aplicable y con los objetivos de política pública que dieron origen a la iniciativa.  </w:t>
      </w:r>
    </w:p>
    <w:p w14:paraId="5A323E51" w14:textId="2EF52D47" w:rsidR="00FC128E" w:rsidRPr="004466CC" w:rsidRDefault="00FC128E" w:rsidP="00FC128E">
      <w:pPr>
        <w:jc w:val="both"/>
        <w:rPr>
          <w:rFonts w:ascii="Work Sans" w:eastAsia="Arial" w:hAnsi="Work Sans" w:cs="Arial"/>
        </w:rPr>
      </w:pPr>
      <w:r w:rsidRPr="004466CC">
        <w:rPr>
          <w:rFonts w:ascii="Work Sans" w:eastAsia="Arial" w:hAnsi="Work Sans" w:cs="Arial"/>
        </w:rPr>
        <w:t xml:space="preserve">Valga precisar que el modelo base al que se hace referencia corresponde a la propuesta denominada “Esquema de Comercialización AGRC – San Antonio de Palmito” (ver </w:t>
      </w:r>
      <w:r w:rsidRPr="004466CC">
        <w:rPr>
          <w:rFonts w:ascii="Work Sans" w:eastAsia="Arial" w:hAnsi="Work Sans" w:cs="Arial"/>
        </w:rPr>
        <w:lastRenderedPageBreak/>
        <w:t xml:space="preserve">Anexo), revisada </w:t>
      </w:r>
      <w:r w:rsidR="00766D00" w:rsidRPr="004466CC">
        <w:rPr>
          <w:rFonts w:ascii="Work Sans" w:eastAsia="Arial" w:hAnsi="Work Sans" w:cs="Arial"/>
        </w:rPr>
        <w:t>juntamente con</w:t>
      </w:r>
      <w:r w:rsidRPr="004466CC">
        <w:rPr>
          <w:rFonts w:ascii="Work Sans" w:eastAsia="Arial" w:hAnsi="Work Sans" w:cs="Arial"/>
        </w:rPr>
        <w:t xml:space="preserve"> FENOGE, presentado y remitido a los equipos actualmente designados por esa entidad (ver correo 7 abril). Si bien este modelo toma como insumo información del documento “Esquema AOM (Administración, Operación y Mantenimiento) de Granja Solar”, elaborado en el marco del contrato de obra No. 116231-020-2024 del proyecto “Energía Solar para Población Vulnerable”, no son equivalentes. En tanto el primero incorpora ajustes técnicos, de costos y regulatorios propios del esquema AGRC para la comercialización de la energía, y alterativas adicionales para la sostenibilidad del </w:t>
      </w:r>
      <w:proofErr w:type="spellStart"/>
      <w:r w:rsidRPr="004466CC">
        <w:rPr>
          <w:rFonts w:ascii="Work Sans" w:eastAsia="Arial" w:hAnsi="Work Sans" w:cs="Arial"/>
        </w:rPr>
        <w:t>AOM.Así</w:t>
      </w:r>
      <w:proofErr w:type="spellEnd"/>
      <w:r w:rsidRPr="004466CC">
        <w:rPr>
          <w:rFonts w:ascii="Work Sans" w:eastAsia="Arial" w:hAnsi="Work Sans" w:cs="Arial"/>
        </w:rPr>
        <w:t xml:space="preserve"> las cosas, las observaciones que se presentan a continuación buscan asegurar consistencia metodológica, regulatoria e institucional del modelo, en la medida en que el insumo remitido por FENOGE parte de supuestos que no reproducen la arquitectura regulatoria del esquema AGRC efectivamente estructurado para el piloto y replicable a los programas afines.</w:t>
      </w:r>
    </w:p>
    <w:p w14:paraId="548D8895" w14:textId="77777777" w:rsidR="00FC128E" w:rsidRPr="004466CC" w:rsidRDefault="00FC128E" w:rsidP="00FC128E">
      <w:pPr>
        <w:jc w:val="both"/>
        <w:rPr>
          <w:rFonts w:ascii="Work Sans" w:eastAsia="Arial" w:hAnsi="Work Sans" w:cs="Arial"/>
        </w:rPr>
      </w:pPr>
      <w:r w:rsidRPr="004466CC">
        <w:rPr>
          <w:rFonts w:ascii="Work Sans" w:eastAsia="Arial" w:hAnsi="Work Sans" w:cs="Arial"/>
        </w:rPr>
        <w:t xml:space="preserve">Esta diferencia resulta sustancial, pues impacta directamente la forma de calcular los beneficios al usuario final, la reducción de subsidios, la </w:t>
      </w:r>
      <w:bookmarkStart w:id="1" w:name="_Int_NzdSS1sz"/>
      <w:r w:rsidRPr="004466CC">
        <w:rPr>
          <w:rFonts w:ascii="Work Sans" w:eastAsia="Arial" w:hAnsi="Work Sans" w:cs="Arial"/>
        </w:rPr>
        <w:t>causación</w:t>
      </w:r>
      <w:bookmarkEnd w:id="1"/>
      <w:r w:rsidRPr="004466CC">
        <w:rPr>
          <w:rFonts w:ascii="Work Sans" w:eastAsia="Arial" w:hAnsi="Work Sans" w:cs="Arial"/>
        </w:rPr>
        <w:t xml:space="preserve"> de ingresos entre los agentes del mercado y la sostenibilidad real del componente de AOM, generando distorsiones o conclusiones que no reflejan adecuadamente los resultados esperados del proyecto ni los fines de la política pública que los originaron, lo cual pasamos a detallar de la siguiente manera:</w:t>
      </w:r>
    </w:p>
    <w:p w14:paraId="54BDB031" w14:textId="77777777" w:rsidR="00FC128E" w:rsidRPr="004466CC" w:rsidRDefault="00FC128E" w:rsidP="00FC128E">
      <w:pPr>
        <w:pStyle w:val="Prrafodelista"/>
        <w:numPr>
          <w:ilvl w:val="0"/>
          <w:numId w:val="2"/>
        </w:numPr>
        <w:spacing w:after="0" w:line="276" w:lineRule="auto"/>
        <w:jc w:val="both"/>
        <w:rPr>
          <w:rFonts w:ascii="Work Sans" w:eastAsia="Arial" w:hAnsi="Work Sans" w:cs="Arial"/>
          <w:b/>
          <w:bCs/>
          <w:kern w:val="0"/>
          <w:sz w:val="22"/>
          <w:szCs w:val="22"/>
          <w14:ligatures w14:val="none"/>
        </w:rPr>
      </w:pPr>
      <w:r w:rsidRPr="004466CC">
        <w:rPr>
          <w:rFonts w:ascii="Work Sans" w:eastAsia="Arial" w:hAnsi="Work Sans" w:cs="Arial"/>
          <w:b/>
          <w:bCs/>
          <w:sz w:val="22"/>
          <w:szCs w:val="22"/>
        </w:rPr>
        <w:t>Aclaración sobre el esquema regulatorio aplicable</w:t>
      </w:r>
    </w:p>
    <w:p w14:paraId="0C1D2F81" w14:textId="77777777" w:rsidR="00FC128E" w:rsidRPr="004466CC" w:rsidRDefault="00FC128E" w:rsidP="00FC128E">
      <w:pPr>
        <w:pStyle w:val="Prrafodelista"/>
        <w:spacing w:after="0" w:line="276" w:lineRule="auto"/>
        <w:ind w:hanging="360"/>
        <w:jc w:val="both"/>
        <w:rPr>
          <w:rFonts w:ascii="Work Sans" w:eastAsia="Arial" w:hAnsi="Work Sans" w:cs="Arial"/>
          <w:b/>
          <w:bCs/>
          <w:kern w:val="0"/>
          <w:sz w:val="22"/>
          <w:szCs w:val="22"/>
          <w14:ligatures w14:val="none"/>
        </w:rPr>
      </w:pPr>
    </w:p>
    <w:p w14:paraId="56B42A53" w14:textId="77777777" w:rsidR="00FC128E" w:rsidRPr="004466CC" w:rsidRDefault="00FC128E" w:rsidP="00FC128E">
      <w:pPr>
        <w:jc w:val="both"/>
        <w:rPr>
          <w:rFonts w:ascii="Work Sans" w:eastAsia="Arial" w:hAnsi="Work Sans" w:cs="Arial"/>
        </w:rPr>
      </w:pPr>
      <w:r w:rsidRPr="004466CC">
        <w:rPr>
          <w:rFonts w:ascii="Work Sans" w:eastAsia="Arial" w:hAnsi="Work Sans" w:cs="Arial"/>
        </w:rPr>
        <w:t xml:space="preserve">Es imperioso  precisar que el modelo promovido  para la sostenibilidad de estas granjas solares ha sido estructurado bajo la lógica de la Autogeneración Colectiva (AC)  dentro del marco de Comunidades Energéticas, conforme a lo previsto en el artículo 235 de la Ley 2294 de 2023, el Decreto 2236 de 2023, la </w:t>
      </w:r>
      <w:r w:rsidRPr="004466CC">
        <w:rPr>
          <w:rFonts w:ascii="Work Sans" w:eastAsia="Arial" w:hAnsi="Work Sans" w:cs="Arial"/>
          <w:b/>
          <w:bCs/>
        </w:rPr>
        <w:t>Resolución CREG 174 de 2021</w:t>
      </w:r>
      <w:r w:rsidRPr="004466CC">
        <w:rPr>
          <w:rFonts w:ascii="Work Sans" w:eastAsia="Arial" w:hAnsi="Work Sans" w:cs="Arial"/>
        </w:rPr>
        <w:t xml:space="preserve"> y la Resolución </w:t>
      </w:r>
      <w:r w:rsidRPr="004466CC">
        <w:rPr>
          <w:rFonts w:ascii="Work Sans" w:eastAsia="Arial" w:hAnsi="Work Sans" w:cs="Arial"/>
          <w:b/>
          <w:bCs/>
        </w:rPr>
        <w:t>CREG 101072 de 2025</w:t>
      </w:r>
      <w:r w:rsidRPr="004466CC">
        <w:rPr>
          <w:rFonts w:ascii="Work Sans" w:eastAsia="Arial" w:hAnsi="Work Sans" w:cs="Arial"/>
        </w:rPr>
        <w:t xml:space="preserve">, partiendo de las ventajas regulatorias propias de los esquemas en los cuales la generación y el consumo se desarrollan dentro del mismo Sistema de Distribución Local (SDL) y la energía se destina </w:t>
      </w:r>
      <w:proofErr w:type="spellStart"/>
      <w:r w:rsidRPr="004466CC">
        <w:rPr>
          <w:rFonts w:ascii="Work Sans" w:eastAsia="Arial" w:hAnsi="Work Sans" w:cs="Arial"/>
        </w:rPr>
        <w:t>prioritaamente</w:t>
      </w:r>
      <w:proofErr w:type="spellEnd"/>
      <w:r w:rsidRPr="004466CC">
        <w:rPr>
          <w:rFonts w:ascii="Work Sans" w:eastAsia="Arial" w:hAnsi="Work Sans" w:cs="Arial"/>
        </w:rPr>
        <w:t xml:space="preserve"> a el consumo de los mismos usuarios.</w:t>
      </w:r>
    </w:p>
    <w:p w14:paraId="58C89069" w14:textId="69E2AE69" w:rsidR="00FC128E" w:rsidRPr="004466CC" w:rsidRDefault="00FC128E" w:rsidP="00FC128E">
      <w:pPr>
        <w:spacing w:before="240" w:after="240" w:line="240" w:lineRule="auto"/>
        <w:jc w:val="both"/>
        <w:rPr>
          <w:rFonts w:ascii="Work Sans" w:eastAsia="Arial" w:hAnsi="Work Sans" w:cs="Arial"/>
        </w:rPr>
      </w:pPr>
      <w:r w:rsidRPr="004466CC">
        <w:rPr>
          <w:rFonts w:ascii="Work Sans" w:eastAsia="Arial" w:hAnsi="Work Sans" w:cs="Arial"/>
        </w:rPr>
        <w:t xml:space="preserve">Este esquema permite materializar los objetivos del programa mediante el reconocimiento y asignación </w:t>
      </w:r>
      <w:r w:rsidR="00766D00" w:rsidRPr="004466CC">
        <w:rPr>
          <w:rFonts w:ascii="Work Sans" w:eastAsia="Arial" w:hAnsi="Work Sans" w:cs="Arial"/>
        </w:rPr>
        <w:t>de los</w:t>
      </w:r>
      <w:r w:rsidRPr="004466CC">
        <w:rPr>
          <w:rFonts w:ascii="Work Sans" w:eastAsia="Arial" w:hAnsi="Work Sans" w:cs="Arial"/>
        </w:rPr>
        <w:t xml:space="preserve"> excedentes de energía a los usuarios, a través </w:t>
      </w:r>
      <w:proofErr w:type="gramStart"/>
      <w:r w:rsidRPr="004466CC">
        <w:rPr>
          <w:rFonts w:ascii="Work Sans" w:eastAsia="Arial" w:hAnsi="Work Sans" w:cs="Arial"/>
        </w:rPr>
        <w:t>de  créditos</w:t>
      </w:r>
      <w:proofErr w:type="gramEnd"/>
      <w:r w:rsidRPr="004466CC">
        <w:rPr>
          <w:rFonts w:ascii="Work Sans" w:eastAsia="Arial" w:hAnsi="Work Sans" w:cs="Arial"/>
        </w:rPr>
        <w:t xml:space="preserve"> tipo 1 y tipo 2, conforme a la regulación aplicable. En tal sentido, el crédito tipo 1 permite que sobre la energía asignada el usuario, dentro de los límites de la regulación- únicamente asuma el componente de comercialización (C), excluyendo los componentes de generación (G), transmisión (T), distribución (D), pérdidas (PR) y restricciones (R), lo que reduce de manera efectiva el consumo facturable disminuye la </w:t>
      </w:r>
      <w:r w:rsidRPr="004466CC">
        <w:rPr>
          <w:rFonts w:ascii="Work Sans" w:eastAsia="Arial" w:hAnsi="Work Sans" w:cs="Arial"/>
        </w:rPr>
        <w:lastRenderedPageBreak/>
        <w:t xml:space="preserve">base de aplicación del subsidio y genera un alivio directo en el valor a pagar por el </w:t>
      </w:r>
      <w:proofErr w:type="spellStart"/>
      <w:r w:rsidRPr="004466CC">
        <w:rPr>
          <w:rFonts w:ascii="Work Sans" w:eastAsia="Arial" w:hAnsi="Work Sans" w:cs="Arial"/>
        </w:rPr>
        <w:t>usuario.A</w:t>
      </w:r>
      <w:proofErr w:type="spellEnd"/>
      <w:r w:rsidRPr="004466CC">
        <w:rPr>
          <w:rFonts w:ascii="Work Sans" w:eastAsia="Arial" w:hAnsi="Work Sans" w:cs="Arial"/>
        </w:rPr>
        <w:t xml:space="preserve"> su vez, los excedentes tipo 2 y su gestión dentro del esquema de AGRC apalanca y fortalece la sostenibilidad financiera del proyecto y del componente de Administración, Operación y Mantenimiento (AOM), sin trasladar al esquema costos de representación como agente generador ante el Mercado de Energía Mayorista (MEM), obligaciones ante el ASIC ni cargos tarifarios adicionales propios de esquemas de generación convencional o de autogeneración remota</w:t>
      </w:r>
    </w:p>
    <w:p w14:paraId="2158F951" w14:textId="77777777" w:rsidR="00FC128E" w:rsidRPr="004466CC" w:rsidRDefault="00FC128E" w:rsidP="00FC128E">
      <w:pPr>
        <w:spacing w:before="240" w:after="240" w:line="240" w:lineRule="auto"/>
        <w:jc w:val="both"/>
        <w:rPr>
          <w:rFonts w:ascii="Work Sans" w:eastAsia="Arial" w:hAnsi="Work Sans" w:cs="Arial"/>
        </w:rPr>
      </w:pPr>
      <w:r w:rsidRPr="004466CC">
        <w:rPr>
          <w:rFonts w:ascii="Work Sans" w:eastAsia="Arial" w:hAnsi="Work Sans" w:cs="Arial"/>
        </w:rPr>
        <w:t>Sin embargo, del análisis del insumo remitido por FENOGE se evidencia que la modelación financiera desarrollada parte de supuestos más cercanos a esquemas de Autogeneración de Forma Remota (AGFR), conforme a la Resolución CREG 101099 de 2026, según se indica en la pestaña 00 (supuestos).  Este esquema corresponde a una estructura de suministro remoto que mantiene una mayor dependencia de los cargos completos del sistema, costos de representación ante el mercado y demás obligaciones propias de esquemas de generación convencional, sin capturar los beneficios regulatorios propios de la Autogeneración Colectiva del modelo base. En consecuencia, el modelo que remiten incorpora costos ajenos al esquema AGRC y omite los efectos derivados de la aplicación de créditos de energía, la reducción del consumo facturable y la disminución de subsidios, entre otros, considerados en el modelo base</w:t>
      </w:r>
    </w:p>
    <w:p w14:paraId="6D6164DA" w14:textId="77777777" w:rsidR="00FC128E" w:rsidRPr="004466CC" w:rsidRDefault="00FC128E" w:rsidP="00FC128E">
      <w:pPr>
        <w:spacing w:before="240" w:after="240" w:line="240" w:lineRule="auto"/>
        <w:jc w:val="both"/>
        <w:rPr>
          <w:rFonts w:ascii="Work Sans" w:eastAsia="Arial" w:hAnsi="Work Sans" w:cs="Arial"/>
          <w:u w:val="single"/>
        </w:rPr>
      </w:pPr>
      <w:r w:rsidRPr="004466CC">
        <w:rPr>
          <w:rFonts w:ascii="Work Sans" w:eastAsia="Arial" w:hAnsi="Work Sans" w:cs="Arial"/>
        </w:rPr>
        <w:t xml:space="preserve">Por ello, las conclusiones obtenidas a partir de dicha modelación no resultan plenamente trasladables al esquema AGRC efectivamente estructurado para el programa, en la medida en que evalúan un modelo regulatorio distinto al previsto para materializar los fines de la AFPEI y de la política pública que la sustenta, </w:t>
      </w:r>
      <w:r w:rsidRPr="004466CC">
        <w:rPr>
          <w:rFonts w:ascii="Work Sans" w:eastAsia="Arial" w:hAnsi="Work Sans" w:cs="Arial"/>
          <w:u w:val="single"/>
        </w:rPr>
        <w:t>generando una clara distorsión en la valoración de los beneficios esperados para los usuarios, la sostenibilidad del AOM y la reducción de los subsidios</w:t>
      </w:r>
    </w:p>
    <w:p w14:paraId="4C66E386" w14:textId="77777777" w:rsidR="00FC128E" w:rsidRPr="004466CC" w:rsidRDefault="00FC128E" w:rsidP="00FC128E">
      <w:pPr>
        <w:pStyle w:val="Prrafodelista"/>
        <w:numPr>
          <w:ilvl w:val="0"/>
          <w:numId w:val="2"/>
        </w:numPr>
        <w:spacing w:after="0" w:line="276" w:lineRule="auto"/>
        <w:jc w:val="both"/>
        <w:rPr>
          <w:rFonts w:ascii="Work Sans" w:eastAsia="Arial" w:hAnsi="Work Sans" w:cs="Arial"/>
          <w:b/>
          <w:bCs/>
          <w:sz w:val="22"/>
          <w:szCs w:val="22"/>
        </w:rPr>
      </w:pPr>
      <w:r w:rsidRPr="004466CC">
        <w:rPr>
          <w:rFonts w:ascii="Work Sans" w:eastAsia="Arial" w:hAnsi="Work Sans" w:cs="Arial"/>
          <w:b/>
          <w:bCs/>
          <w:sz w:val="22"/>
          <w:szCs w:val="22"/>
        </w:rPr>
        <w:t>Inadecuada representación del Costo Unitario (C.U.) y del componente de comercialización.</w:t>
      </w:r>
    </w:p>
    <w:p w14:paraId="22336DEA" w14:textId="7CD07867" w:rsidR="00FC128E" w:rsidRPr="004466CC" w:rsidRDefault="00FC128E" w:rsidP="00FC128E">
      <w:pPr>
        <w:spacing w:before="240" w:after="240" w:line="240" w:lineRule="auto"/>
        <w:jc w:val="both"/>
        <w:rPr>
          <w:rFonts w:ascii="Work Sans" w:eastAsia="Arial" w:hAnsi="Work Sans" w:cs="Arial"/>
        </w:rPr>
      </w:pPr>
      <w:r w:rsidRPr="004466CC">
        <w:rPr>
          <w:rFonts w:ascii="Work Sans" w:eastAsia="Arial" w:hAnsi="Work Sans" w:cs="Arial"/>
        </w:rPr>
        <w:t xml:space="preserve">Como consecuencia de lo anterior, el modelo no refleja correctamente la reducción de la tarifa para los usuarios beneficiarios de crédito tipo uno (1) bajo el esquema de AGRC efectivamente estructurado para el piloto. Desde el punto de vista regulatorio, al ser beneficiarios de crédito tipo 1, los usuarios con capacidad instalada menor a 100kW, </w:t>
      </w:r>
      <w:proofErr w:type="spellStart"/>
      <w:r w:rsidRPr="004466CC">
        <w:rPr>
          <w:rFonts w:ascii="Work Sans" w:eastAsia="Arial" w:hAnsi="Work Sans" w:cs="Arial"/>
        </w:rPr>
        <w:t>l</w:t>
      </w:r>
      <w:proofErr w:type="spellEnd"/>
      <w:r w:rsidRPr="004466CC">
        <w:rPr>
          <w:rFonts w:ascii="Work Sans" w:eastAsia="Arial" w:hAnsi="Work Sans" w:cs="Arial"/>
        </w:rPr>
        <w:t xml:space="preserve"> que corresponde </w:t>
      </w:r>
      <w:r w:rsidR="00766D00" w:rsidRPr="004466CC">
        <w:rPr>
          <w:rFonts w:ascii="Work Sans" w:eastAsia="Arial" w:hAnsi="Work Sans" w:cs="Arial"/>
        </w:rPr>
        <w:t>a los miembros</w:t>
      </w:r>
      <w:r w:rsidRPr="004466CC">
        <w:rPr>
          <w:rFonts w:ascii="Work Sans" w:eastAsia="Arial" w:hAnsi="Work Sans" w:cs="Arial"/>
        </w:rPr>
        <w:t xml:space="preserve"> de la alianza, y al permutarse con sus consumos, deben ver eliminado el cobro de los componentes G, T, D, PR y R sobre la energía asignada como crédito tipo 1; manteniéndose únicamente el componente C. La no incorporación de este efecto genera una subestimación crítica del impacto social del proyecto y desvirtúa su principal objetivo de política pública.</w:t>
      </w:r>
    </w:p>
    <w:p w14:paraId="2A0C6281" w14:textId="77777777" w:rsidR="00FC128E" w:rsidRPr="004466CC" w:rsidRDefault="00FC128E" w:rsidP="00FC128E">
      <w:pPr>
        <w:spacing w:before="240" w:after="240" w:line="240" w:lineRule="auto"/>
        <w:jc w:val="both"/>
        <w:rPr>
          <w:rFonts w:ascii="Work Sans" w:eastAsia="Arial" w:hAnsi="Work Sans" w:cs="Arial"/>
        </w:rPr>
      </w:pPr>
      <w:r w:rsidRPr="004466CC">
        <w:rPr>
          <w:rFonts w:ascii="Work Sans" w:eastAsia="Arial" w:hAnsi="Work Sans" w:cs="Arial"/>
        </w:rPr>
        <w:lastRenderedPageBreak/>
        <w:t>Esta omisión es determinante y explica por qué el modelo concluye que no hay disminuciones relevantes en la factura, cuando en realidad, bajo una correcta aplicación regulatoria, la reducción sería significativa, tal como evidenciamos en el siguiente punto.</w:t>
      </w:r>
    </w:p>
    <w:p w14:paraId="382BC70E" w14:textId="77777777" w:rsidR="00FC128E" w:rsidRPr="004466CC" w:rsidRDefault="00FC128E" w:rsidP="00FC128E">
      <w:pPr>
        <w:spacing w:beforeAutospacing="1" w:afterAutospacing="1" w:line="240" w:lineRule="auto"/>
        <w:ind w:left="360"/>
        <w:jc w:val="both"/>
        <w:rPr>
          <w:rFonts w:ascii="Work Sans" w:eastAsia="Arial" w:hAnsi="Work Sans" w:cs="Arial"/>
          <w:lang w:eastAsia="es-CO"/>
        </w:rPr>
      </w:pPr>
      <w:r w:rsidRPr="004466CC">
        <w:rPr>
          <w:rFonts w:ascii="Work Sans" w:eastAsia="Arial" w:hAnsi="Work Sans" w:cs="Arial"/>
          <w:lang w:eastAsia="es-CO"/>
        </w:rPr>
        <w:t>2.1 Subestimación del impacto tarifario en usuarios finales.</w:t>
      </w:r>
    </w:p>
    <w:p w14:paraId="028035E9" w14:textId="77777777" w:rsidR="00FC128E" w:rsidRPr="004466CC" w:rsidRDefault="00FC128E" w:rsidP="00FC128E">
      <w:pPr>
        <w:spacing w:before="240" w:after="240" w:line="240" w:lineRule="auto"/>
        <w:jc w:val="both"/>
        <w:rPr>
          <w:rFonts w:ascii="Work Sans" w:eastAsia="Arial" w:hAnsi="Work Sans" w:cs="Arial"/>
        </w:rPr>
      </w:pPr>
      <w:r w:rsidRPr="004466CC">
        <w:rPr>
          <w:rFonts w:ascii="Work Sans" w:eastAsia="Arial" w:hAnsi="Work Sans" w:cs="Arial"/>
        </w:rPr>
        <w:t>De acuerdo con la estructuración y datos del proyecto, bajo el esquema de AGRC estructurado para el piloto, los usuarios podrían recibir hasta 173 kWh/mes que se compensaría con su consumo, pagando únicamente componente “</w:t>
      </w:r>
      <w:proofErr w:type="gramStart"/>
      <w:r w:rsidRPr="004466CC">
        <w:rPr>
          <w:rFonts w:ascii="Work Sans" w:eastAsia="Arial" w:hAnsi="Work Sans" w:cs="Arial"/>
        </w:rPr>
        <w:t>C“</w:t>
      </w:r>
      <w:proofErr w:type="gramEnd"/>
      <w:r w:rsidRPr="004466CC">
        <w:rPr>
          <w:rFonts w:ascii="Work Sans" w:eastAsia="Arial" w:hAnsi="Work Sans" w:cs="Arial"/>
        </w:rPr>
        <w:t>. Considerando que en la práctica aproximadamente el 78% de los usuarios presenta consumos inferiores a 150 kWh/mes, el esquema AGRC permitiría cubrir la totalidad o una proporción sustancial del consumo mensual percibiendo un menor valor a pagar por el servicio de energía.</w:t>
      </w:r>
    </w:p>
    <w:p w14:paraId="0BA0EC9C" w14:textId="77777777" w:rsidR="00FC128E" w:rsidRPr="004466CC" w:rsidRDefault="00FC128E" w:rsidP="00FC128E">
      <w:pPr>
        <w:spacing w:before="240" w:after="240" w:line="240" w:lineRule="auto"/>
        <w:jc w:val="both"/>
        <w:rPr>
          <w:rFonts w:ascii="Work Sans" w:eastAsia="Arial" w:hAnsi="Work Sans" w:cs="Arial"/>
        </w:rPr>
      </w:pPr>
      <w:r w:rsidRPr="004466CC">
        <w:rPr>
          <w:rFonts w:ascii="Work Sans" w:eastAsia="Arial" w:hAnsi="Work Sans" w:cs="Arial"/>
        </w:rPr>
        <w:t xml:space="preserve">La valoración correcta del impacto en la tarifa del usuario </w:t>
      </w:r>
      <w:proofErr w:type="gramStart"/>
      <w:r w:rsidRPr="004466CC">
        <w:rPr>
          <w:rFonts w:ascii="Work Sans" w:eastAsia="Arial" w:hAnsi="Work Sans" w:cs="Arial"/>
        </w:rPr>
        <w:t>final,</w:t>
      </w:r>
      <w:proofErr w:type="gramEnd"/>
      <w:r w:rsidRPr="004466CC">
        <w:rPr>
          <w:rFonts w:ascii="Work Sans" w:eastAsia="Arial" w:hAnsi="Work Sans" w:cs="Arial"/>
        </w:rPr>
        <w:t xml:space="preserve"> representa en un proyecto de 500 familias, ahorros aproximadamente de $324 millones anuales en el primer año. Bajo este escenario, las proyecciones a 25 años de la reducción de la facturación del usuario, representa un valor presente neto del beneficio de $7.145 Millones de COP (tasa descuento 9% anual), permitiendo confirmar el impacto social del proyecto y cumplimiento de uno de los objetivos de la política pública del programa.</w:t>
      </w:r>
    </w:p>
    <w:p w14:paraId="37A1E2A8" w14:textId="77777777" w:rsidR="00FC128E" w:rsidRPr="004466CC" w:rsidRDefault="00FC128E" w:rsidP="00FC128E">
      <w:pPr>
        <w:spacing w:beforeAutospacing="1" w:afterAutospacing="1" w:line="240" w:lineRule="auto"/>
        <w:ind w:left="360"/>
        <w:jc w:val="both"/>
        <w:rPr>
          <w:rFonts w:ascii="Work Sans" w:eastAsia="Arial" w:hAnsi="Work Sans" w:cs="Arial"/>
          <w:lang w:eastAsia="es-CO"/>
        </w:rPr>
      </w:pPr>
      <w:r w:rsidRPr="004466CC">
        <w:rPr>
          <w:rFonts w:ascii="Work Sans" w:eastAsia="Arial" w:hAnsi="Work Sans" w:cs="Arial"/>
          <w:lang w:eastAsia="es-CO"/>
        </w:rPr>
        <w:t>2.2 Sobreestimación de los requerimientos de subsidio.</w:t>
      </w:r>
    </w:p>
    <w:p w14:paraId="58812A87" w14:textId="4156360F" w:rsidR="00FC128E" w:rsidRPr="004466CC" w:rsidRDefault="00FC128E" w:rsidP="00FC128E">
      <w:pPr>
        <w:spacing w:before="240" w:after="240" w:line="240" w:lineRule="auto"/>
        <w:jc w:val="both"/>
        <w:rPr>
          <w:rFonts w:ascii="Work Sans" w:eastAsia="Arial" w:hAnsi="Work Sans" w:cs="Arial"/>
        </w:rPr>
      </w:pPr>
      <w:r w:rsidRPr="004466CC">
        <w:rPr>
          <w:rFonts w:ascii="Work Sans" w:eastAsia="Arial" w:hAnsi="Work Sans" w:cs="Arial"/>
        </w:rPr>
        <w:t xml:space="preserve">Como consecuencia directa de los errores anteriores, el modelo mantiene niveles de subsidio artificialmente altos. En un escenario correctamente modelado, bajo la aplicación del modelo de AGRC, la energía generada reduce la base sobre la cual se calculan subsidios, generando eficiencias fiscales en un proyecto de 500 familias de $370 millones anuales aproximadamente en el primer año. Bajo este escenario, el análisis de las proyecciones a 25 </w:t>
      </w:r>
      <w:r w:rsidR="004466CC" w:rsidRPr="004466CC">
        <w:rPr>
          <w:rFonts w:ascii="Work Sans" w:eastAsia="Arial" w:hAnsi="Work Sans" w:cs="Arial"/>
        </w:rPr>
        <w:t>años</w:t>
      </w:r>
      <w:r w:rsidRPr="004466CC">
        <w:rPr>
          <w:rFonts w:ascii="Work Sans" w:eastAsia="Arial" w:hAnsi="Work Sans" w:cs="Arial"/>
        </w:rPr>
        <w:t xml:space="preserve"> permite estimar un valor presente neto de reducción de subsidios por valor de $6.130 Millones de COP (tasa descuento 9% anual)</w:t>
      </w:r>
    </w:p>
    <w:p w14:paraId="6E494FFC" w14:textId="77777777" w:rsidR="00FC128E" w:rsidRPr="004466CC" w:rsidRDefault="00FC128E" w:rsidP="00FC128E">
      <w:pPr>
        <w:spacing w:before="240" w:after="240" w:line="240" w:lineRule="auto"/>
        <w:jc w:val="both"/>
        <w:rPr>
          <w:rFonts w:ascii="Work Sans" w:eastAsia="Arial" w:hAnsi="Work Sans" w:cs="Arial"/>
        </w:rPr>
      </w:pPr>
      <w:r w:rsidRPr="004466CC">
        <w:rPr>
          <w:rFonts w:ascii="Work Sans" w:eastAsia="Arial" w:hAnsi="Work Sans" w:cs="Arial"/>
        </w:rPr>
        <w:t>La siguiente comparación presenta los resultados correctamente simulados bajo el esquema estructurado para el piloto de AGRC, tomando como referencia usuarios residenciales de estratos 1 y 2 con un consumo promedio mensual de 173 kWh y contrastando la situación actual frente al escenario con solución FNCER. En este ejercicio se corrigieron los aspectos previamente identificados: aplicación adecuada de la tarifa residencial, reconocimiento correcto de los componentes del Costo Unitario (CU) conforme a la regulación vigente, asignación apropiada de los beneficios energéticos al consumo del usuario y cálculo de subsidios en función de los consumos y tarifas efectivamente aplicables.</w:t>
      </w:r>
    </w:p>
    <w:p w14:paraId="0D8E79AD" w14:textId="77777777" w:rsidR="00FC128E" w:rsidRPr="004466CC" w:rsidRDefault="00FC128E" w:rsidP="00FC128E">
      <w:pPr>
        <w:spacing w:beforeAutospacing="1" w:afterAutospacing="1" w:line="240" w:lineRule="auto"/>
        <w:ind w:left="708"/>
        <w:jc w:val="center"/>
        <w:rPr>
          <w:rFonts w:ascii="Work Sans" w:hAnsi="Work Sans" w:cs="Arial"/>
        </w:rPr>
      </w:pPr>
      <w:r w:rsidRPr="004466CC">
        <w:rPr>
          <w:rFonts w:ascii="Work Sans" w:hAnsi="Work Sans" w:cs="Arial"/>
          <w:noProof/>
        </w:rPr>
        <w:lastRenderedPageBreak/>
        <w:drawing>
          <wp:inline distT="0" distB="0" distL="0" distR="0" wp14:anchorId="349441D7" wp14:editId="36AE99AA">
            <wp:extent cx="3613150" cy="3600956"/>
            <wp:effectExtent l="0" t="0" r="6350" b="0"/>
            <wp:docPr id="168287534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535328" name="Picture 1473535328"/>
                    <pic:cNvPicPr/>
                  </pic:nvPicPr>
                  <pic:blipFill>
                    <a:blip r:embed="rId7">
                      <a:extLst>
                        <a:ext uri="{28A0092B-C50C-407E-A947-70E740481C1C}">
                          <a14:useLocalDpi xmlns:a14="http://schemas.microsoft.com/office/drawing/2010/main"/>
                        </a:ext>
                      </a:extLst>
                    </a:blip>
                    <a:stretch>
                      <a:fillRect/>
                    </a:stretch>
                  </pic:blipFill>
                  <pic:spPr>
                    <a:xfrm>
                      <a:off x="0" y="0"/>
                      <a:ext cx="3625090" cy="3612856"/>
                    </a:xfrm>
                    <a:prstGeom prst="rect">
                      <a:avLst/>
                    </a:prstGeom>
                  </pic:spPr>
                </pic:pic>
              </a:graphicData>
            </a:graphic>
          </wp:inline>
        </w:drawing>
      </w:r>
    </w:p>
    <w:p w14:paraId="2DDE9088" w14:textId="77777777" w:rsidR="00FC128E" w:rsidRPr="004466CC" w:rsidRDefault="00FC128E" w:rsidP="00FC128E">
      <w:pPr>
        <w:spacing w:beforeAutospacing="1" w:afterAutospacing="1" w:line="240" w:lineRule="auto"/>
        <w:jc w:val="both"/>
        <w:rPr>
          <w:rFonts w:ascii="Work Sans" w:eastAsia="Arial" w:hAnsi="Work Sans" w:cs="Arial"/>
          <w:lang w:eastAsia="es-CO"/>
        </w:rPr>
      </w:pPr>
      <w:r w:rsidRPr="004466CC">
        <w:rPr>
          <w:rFonts w:ascii="Work Sans" w:eastAsia="Arial" w:hAnsi="Work Sans" w:cs="Arial"/>
          <w:lang w:eastAsia="es-CO"/>
        </w:rPr>
        <w:t xml:space="preserve">En la proyección situación actual (sin solución FNCER), el usuario presenta una tarifa subsidiada del orden de 483 COP/kWh, una facturación promedio de $83.542 COP, un subsidio de $68.010 y un costo pleno del servicio de $151.551 COP. Bajo el escenario de proyección situación con solución FNCER (modelo AGRC), el valor facturado al usuario sería solo el componente “C” ($207 x 173) disminuye a $35.749 COP y el subsidio asociado se reduce a cero (bajo el supuesto que los usuarios consumen por debajo de 173 kWh mes) por lo que el costo pleno del servicio corresponde a los $35.749 COP. </w:t>
      </w:r>
    </w:p>
    <w:p w14:paraId="4E5B6B1A" w14:textId="6A260010" w:rsidR="00FC128E" w:rsidRPr="004466CC" w:rsidRDefault="00FC128E" w:rsidP="00FC128E">
      <w:pPr>
        <w:spacing w:beforeAutospacing="1" w:afterAutospacing="1" w:line="240" w:lineRule="auto"/>
        <w:jc w:val="both"/>
        <w:rPr>
          <w:rFonts w:ascii="Work Sans" w:eastAsia="Arial" w:hAnsi="Work Sans" w:cs="Arial"/>
        </w:rPr>
      </w:pPr>
      <w:r w:rsidRPr="004466CC">
        <w:rPr>
          <w:rFonts w:ascii="Work Sans" w:eastAsia="Arial" w:hAnsi="Work Sans" w:cs="Arial"/>
        </w:rPr>
        <w:t xml:space="preserve">En consecuencia, el ejercicio evidencia un alivio económico real para el usuario final del 62% y una reducción del 100% del subsidio aplicado en el escenario simulado, resultado que confirma que la conclusión alcanzada en la </w:t>
      </w:r>
      <w:r w:rsidR="004466CC" w:rsidRPr="004466CC">
        <w:rPr>
          <w:rFonts w:ascii="Work Sans" w:eastAsia="Arial" w:hAnsi="Work Sans" w:cs="Arial"/>
        </w:rPr>
        <w:t>simulación de</w:t>
      </w:r>
      <w:r w:rsidRPr="004466CC">
        <w:rPr>
          <w:rFonts w:ascii="Work Sans" w:eastAsia="Arial" w:hAnsi="Work Sans" w:cs="Arial"/>
        </w:rPr>
        <w:t xml:space="preserve"> FENOGE no obedece a una limitación del esquema AGRC, sino a una modelación construida bajo supuestos regulatorios distintos al realmente aplicable.</w:t>
      </w:r>
    </w:p>
    <w:p w14:paraId="2428990B" w14:textId="77777777" w:rsidR="00FC128E" w:rsidRPr="004466CC" w:rsidRDefault="00FC128E" w:rsidP="00FC128E">
      <w:pPr>
        <w:pStyle w:val="Prrafodelista"/>
        <w:numPr>
          <w:ilvl w:val="0"/>
          <w:numId w:val="2"/>
        </w:numPr>
        <w:spacing w:after="0" w:line="276" w:lineRule="auto"/>
        <w:jc w:val="both"/>
        <w:rPr>
          <w:rFonts w:ascii="Work Sans" w:eastAsia="Arial" w:hAnsi="Work Sans" w:cs="Arial"/>
          <w:b/>
          <w:bCs/>
          <w:sz w:val="22"/>
          <w:szCs w:val="22"/>
        </w:rPr>
      </w:pPr>
      <w:r w:rsidRPr="004466CC">
        <w:rPr>
          <w:rFonts w:ascii="Work Sans" w:eastAsia="Arial" w:hAnsi="Work Sans" w:cs="Arial"/>
          <w:b/>
          <w:bCs/>
          <w:sz w:val="22"/>
          <w:szCs w:val="22"/>
        </w:rPr>
        <w:t>Otras inconsistencias estructurales que afecta la definición de ingresos del proyecto.</w:t>
      </w:r>
    </w:p>
    <w:p w14:paraId="4483F13F" w14:textId="77777777" w:rsidR="00FC128E" w:rsidRPr="004466CC" w:rsidRDefault="00FC128E" w:rsidP="00FC128E">
      <w:pPr>
        <w:spacing w:beforeAutospacing="1" w:afterAutospacing="1" w:line="240" w:lineRule="auto"/>
        <w:ind w:left="360"/>
        <w:jc w:val="both"/>
        <w:rPr>
          <w:rFonts w:ascii="Work Sans" w:eastAsia="Arial" w:hAnsi="Work Sans" w:cs="Arial"/>
          <w:lang w:eastAsia="es-CO"/>
        </w:rPr>
      </w:pPr>
      <w:r w:rsidRPr="004466CC">
        <w:rPr>
          <w:rFonts w:ascii="Work Sans" w:eastAsia="Arial" w:hAnsi="Work Sans" w:cs="Arial"/>
          <w:lang w:eastAsia="es-CO"/>
        </w:rPr>
        <w:t>3.1 Uso de la tarifa usuarios</w:t>
      </w:r>
    </w:p>
    <w:p w14:paraId="14CAC4D9" w14:textId="77777777" w:rsidR="00FC128E" w:rsidRPr="004466CC" w:rsidRDefault="00FC128E" w:rsidP="00FC128E">
      <w:pPr>
        <w:spacing w:before="100" w:beforeAutospacing="1" w:after="100" w:afterAutospacing="1" w:line="240" w:lineRule="auto"/>
        <w:jc w:val="both"/>
        <w:rPr>
          <w:rFonts w:ascii="Work Sans" w:eastAsia="Arial" w:hAnsi="Work Sans" w:cs="Arial"/>
          <w:lang w:eastAsia="es-CO"/>
        </w:rPr>
      </w:pPr>
      <w:r w:rsidRPr="004466CC">
        <w:rPr>
          <w:rFonts w:ascii="Work Sans" w:eastAsia="Arial" w:hAnsi="Work Sans" w:cs="Arial"/>
          <w:lang w:eastAsia="es-CO"/>
        </w:rPr>
        <w:lastRenderedPageBreak/>
        <w:t xml:space="preserve">Se identifican dos errores conceptuales en el tratamiento y uso de la tarifa subsidiada de los estratos 1 y 2 que impactan la valoración de los efectos del esquema a nivel de subsidios y facturación al usuario: i) los valores considerados de "Tarifa usuario [COP/kWh]" de $ 396 y $ 495, respectivamente para estrato 1 y 2, corresponden a la tarifa publicada por </w:t>
      </w:r>
      <w:proofErr w:type="spellStart"/>
      <w:r w:rsidRPr="004466CC">
        <w:rPr>
          <w:rFonts w:ascii="Work Sans" w:eastAsia="Arial" w:hAnsi="Work Sans" w:cs="Arial"/>
          <w:lang w:eastAsia="es-CO"/>
        </w:rPr>
        <w:t>Afinia</w:t>
      </w:r>
      <w:proofErr w:type="spellEnd"/>
      <w:r w:rsidRPr="004466CC">
        <w:rPr>
          <w:rFonts w:ascii="Work Sans" w:eastAsia="Arial" w:hAnsi="Work Sans" w:cs="Arial"/>
          <w:lang w:eastAsia="es-CO"/>
        </w:rPr>
        <w:t xml:space="preserve"> para usuarios residenciales de </w:t>
      </w:r>
      <w:r w:rsidRPr="004466CC">
        <w:rPr>
          <w:rFonts w:ascii="Work Sans" w:eastAsia="Arial" w:hAnsi="Work Sans" w:cs="Arial"/>
          <w:b/>
          <w:bCs/>
          <w:lang w:eastAsia="es-CO"/>
        </w:rPr>
        <w:t>nivel de tensión 2</w:t>
      </w:r>
      <w:r w:rsidRPr="004466CC">
        <w:rPr>
          <w:rFonts w:ascii="Work Sans" w:eastAsia="Arial" w:hAnsi="Work Sans" w:cs="Arial"/>
          <w:lang w:eastAsia="es-CO"/>
        </w:rPr>
        <w:t xml:space="preserve">, debiendo considerarse tarifas de nivel de tensión 1. </w:t>
      </w:r>
      <w:proofErr w:type="spellStart"/>
      <w:r w:rsidRPr="004466CC">
        <w:rPr>
          <w:rFonts w:ascii="Work Sans" w:eastAsia="Arial" w:hAnsi="Work Sans" w:cs="Arial"/>
          <w:lang w:eastAsia="es-CO"/>
        </w:rPr>
        <w:t>ii</w:t>
      </w:r>
      <w:proofErr w:type="spellEnd"/>
      <w:r w:rsidRPr="004466CC">
        <w:rPr>
          <w:rFonts w:ascii="Work Sans" w:eastAsia="Arial" w:hAnsi="Work Sans" w:cs="Arial"/>
          <w:lang w:eastAsia="es-CO"/>
        </w:rPr>
        <w:t xml:space="preserve">) estos valores se consideran en el </w:t>
      </w:r>
      <w:r w:rsidRPr="004466CC">
        <w:rPr>
          <w:rFonts w:ascii="Work Sans" w:eastAsia="Arial" w:hAnsi="Work Sans" w:cs="Arial"/>
          <w:b/>
          <w:bCs/>
          <w:lang w:eastAsia="es-CO"/>
        </w:rPr>
        <w:t>cálculo del valor del subsidio</w:t>
      </w:r>
      <w:r w:rsidRPr="004466CC">
        <w:rPr>
          <w:rFonts w:ascii="Work Sans" w:eastAsia="Arial" w:hAnsi="Work Sans" w:cs="Arial"/>
          <w:lang w:eastAsia="es-CO"/>
        </w:rPr>
        <w:t xml:space="preserve"> presentado en los resultados de la hoja ‘AA-Resumen General’ del estrato 2 (cuadro - situación actual) y estratos 1 y 2 respectivamente (cuadro - Solución PV), cuando esta tarifa realmente corresponde al valor a pagar por parte del usuario en el rango de consumo entre 0 y 173 kWh. </w:t>
      </w:r>
    </w:p>
    <w:p w14:paraId="41EE6CD5" w14:textId="77777777" w:rsidR="00FC128E" w:rsidRPr="004466CC" w:rsidRDefault="00FC128E" w:rsidP="00FC128E">
      <w:pPr>
        <w:spacing w:before="100" w:beforeAutospacing="1" w:after="100" w:afterAutospacing="1" w:line="240" w:lineRule="auto"/>
        <w:jc w:val="both"/>
        <w:rPr>
          <w:rFonts w:ascii="Work Sans" w:eastAsia="Arial" w:hAnsi="Work Sans" w:cs="Arial"/>
          <w:lang w:eastAsia="es-CO"/>
        </w:rPr>
      </w:pPr>
      <w:r w:rsidRPr="004466CC">
        <w:rPr>
          <w:rFonts w:ascii="Work Sans" w:eastAsia="Arial" w:hAnsi="Work Sans" w:cs="Arial"/>
          <w:lang w:eastAsia="es-CO"/>
        </w:rPr>
        <w:t xml:space="preserve">Tarifas publicadas por </w:t>
      </w:r>
      <w:proofErr w:type="spellStart"/>
      <w:r w:rsidRPr="004466CC">
        <w:rPr>
          <w:rFonts w:ascii="Work Sans" w:eastAsia="Arial" w:hAnsi="Work Sans" w:cs="Arial"/>
          <w:lang w:eastAsia="es-CO"/>
        </w:rPr>
        <w:t>Afinia</w:t>
      </w:r>
      <w:proofErr w:type="spellEnd"/>
      <w:r w:rsidRPr="004466CC">
        <w:rPr>
          <w:rFonts w:ascii="Work Sans" w:eastAsia="Arial" w:hAnsi="Work Sans" w:cs="Arial"/>
          <w:lang w:eastAsia="es-CO"/>
        </w:rPr>
        <w:t xml:space="preserve"> del mes de enero 2026.</w:t>
      </w:r>
    </w:p>
    <w:p w14:paraId="72D20377" w14:textId="77777777" w:rsidR="00FC128E" w:rsidRPr="004466CC" w:rsidRDefault="00FC128E" w:rsidP="00FC128E">
      <w:pPr>
        <w:spacing w:beforeAutospacing="1" w:after="0" w:line="240" w:lineRule="auto"/>
        <w:ind w:left="708"/>
        <w:jc w:val="center"/>
        <w:rPr>
          <w:rFonts w:ascii="Work Sans" w:hAnsi="Work Sans" w:cs="Arial"/>
        </w:rPr>
      </w:pPr>
      <w:r w:rsidRPr="004466CC">
        <w:rPr>
          <w:rFonts w:ascii="Work Sans" w:hAnsi="Work Sans" w:cs="Arial"/>
          <w:noProof/>
        </w:rPr>
        <w:drawing>
          <wp:inline distT="0" distB="0" distL="0" distR="0" wp14:anchorId="6349F050" wp14:editId="269519EF">
            <wp:extent cx="2959262" cy="4032250"/>
            <wp:effectExtent l="0" t="0" r="0" b="6350"/>
            <wp:docPr id="189782973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829735" name="Picture 1897829735"/>
                    <pic:cNvPicPr/>
                  </pic:nvPicPr>
                  <pic:blipFill>
                    <a:blip r:embed="rId8">
                      <a:extLst>
                        <a:ext uri="{28A0092B-C50C-407E-A947-70E740481C1C}">
                          <a14:useLocalDpi xmlns:a14="http://schemas.microsoft.com/office/drawing/2010/main"/>
                        </a:ext>
                      </a:extLst>
                    </a:blip>
                    <a:stretch>
                      <a:fillRect/>
                    </a:stretch>
                  </pic:blipFill>
                  <pic:spPr>
                    <a:xfrm>
                      <a:off x="0" y="0"/>
                      <a:ext cx="2971011" cy="4048259"/>
                    </a:xfrm>
                    <a:prstGeom prst="rect">
                      <a:avLst/>
                    </a:prstGeom>
                  </pic:spPr>
                </pic:pic>
              </a:graphicData>
            </a:graphic>
          </wp:inline>
        </w:drawing>
      </w:r>
    </w:p>
    <w:p w14:paraId="7DDBCF22" w14:textId="77777777" w:rsidR="00FC128E" w:rsidRPr="004466CC" w:rsidRDefault="00FC128E" w:rsidP="00FC128E">
      <w:pPr>
        <w:spacing w:beforeAutospacing="1" w:afterAutospacing="1" w:line="240" w:lineRule="auto"/>
        <w:ind w:left="360"/>
        <w:jc w:val="both"/>
        <w:rPr>
          <w:rFonts w:ascii="Work Sans" w:eastAsia="Arial" w:hAnsi="Work Sans" w:cs="Arial"/>
          <w:lang w:eastAsia="es-CO"/>
        </w:rPr>
      </w:pPr>
      <w:r w:rsidRPr="004466CC">
        <w:rPr>
          <w:rFonts w:ascii="Work Sans" w:eastAsia="Arial" w:hAnsi="Work Sans" w:cs="Arial"/>
          <w:lang w:eastAsia="es-CO"/>
        </w:rPr>
        <w:t xml:space="preserve">3.2 Inconsistencia en la información y desagregación de los consumos base  </w:t>
      </w:r>
    </w:p>
    <w:p w14:paraId="74A6428F" w14:textId="77777777" w:rsidR="00FC128E" w:rsidRPr="004466CC" w:rsidRDefault="00FC128E" w:rsidP="00FC128E">
      <w:pPr>
        <w:pStyle w:val="Prrafodelista"/>
        <w:spacing w:beforeAutospacing="1" w:afterAutospacing="1" w:line="240" w:lineRule="auto"/>
        <w:jc w:val="both"/>
        <w:rPr>
          <w:rFonts w:ascii="Work Sans" w:eastAsia="Arial" w:hAnsi="Work Sans" w:cs="Arial"/>
          <w:sz w:val="22"/>
          <w:szCs w:val="22"/>
        </w:rPr>
      </w:pPr>
      <w:r w:rsidRPr="004466CC">
        <w:rPr>
          <w:rFonts w:ascii="Work Sans" w:eastAsia="Arial" w:hAnsi="Work Sans" w:cs="Arial"/>
          <w:sz w:val="22"/>
          <w:szCs w:val="22"/>
        </w:rPr>
        <w:lastRenderedPageBreak/>
        <w:t>Aun bajo el entendido de que el modelo FENOGE pretende simular un esquema de Autogeneración de Forma Remota (AGFR), no obstante, no responder al modelo base ni al aplicable regulatoriamente a estos usuarios, se evidencia una inconsistencia metodológica en la desagregación de los consumos que afecta la coherencia técnica de la simulación y, en consecuencia, la validez de los resultados obtenidos. En particular, el modelo parte del supuesto según el cual el concepto denominado “Consumo de energía de la Solución PV” representa aproximadamente el 92% del consumo total estimado de los usuarios, mientras que el 8% restante se registra como “Energía consumida por los usuarios del SIN”.</w:t>
      </w:r>
    </w:p>
    <w:p w14:paraId="295467DB" w14:textId="77777777" w:rsidR="00FC128E" w:rsidRPr="004466CC" w:rsidRDefault="00FC128E" w:rsidP="00FC128E">
      <w:pPr>
        <w:pStyle w:val="Prrafodelista"/>
        <w:spacing w:beforeAutospacing="1" w:afterAutospacing="1" w:line="240" w:lineRule="auto"/>
        <w:jc w:val="both"/>
        <w:rPr>
          <w:rFonts w:ascii="Work Sans" w:eastAsia="Arial" w:hAnsi="Work Sans" w:cs="Arial"/>
          <w:sz w:val="22"/>
          <w:szCs w:val="22"/>
        </w:rPr>
      </w:pPr>
    </w:p>
    <w:p w14:paraId="2620F26F" w14:textId="77777777" w:rsidR="00FC128E" w:rsidRPr="004466CC" w:rsidRDefault="00FC128E" w:rsidP="00FC128E">
      <w:pPr>
        <w:pStyle w:val="Prrafodelista"/>
        <w:spacing w:beforeAutospacing="1" w:afterAutospacing="1" w:line="240" w:lineRule="auto"/>
        <w:jc w:val="both"/>
        <w:rPr>
          <w:rFonts w:ascii="Work Sans" w:eastAsia="Arial" w:hAnsi="Work Sans" w:cs="Arial"/>
          <w:sz w:val="22"/>
          <w:szCs w:val="22"/>
        </w:rPr>
      </w:pPr>
      <w:r w:rsidRPr="004466CC">
        <w:rPr>
          <w:rFonts w:ascii="Work Sans" w:eastAsia="Arial" w:hAnsi="Work Sans" w:cs="Arial"/>
          <w:sz w:val="22"/>
          <w:szCs w:val="22"/>
        </w:rPr>
        <w:t>De acuerdo con la información contenida en la hoja 01_CapacidadGeneracion”, esta distribución se soporta en la serie de consumos mensuales de 200.000 kWh, resultado de la suma de los campos “Consumo de energía de la Solución PV [kWh/mes]” y “Consumo de energía de la Red [kWh/mes]” cifra que proviene del modelo de simulación presentado por el contratista UT-Energiza. Sin embargo, dicha base de consumo no guarda correspondencia técnica con la población objetivo de 500 usuarios considerada en el propio modelo ni con el supuesto de demanda individual utilizado para la evaluación financiera.</w:t>
      </w:r>
    </w:p>
    <w:p w14:paraId="590156CD" w14:textId="77777777" w:rsidR="00FC128E" w:rsidRPr="004466CC" w:rsidRDefault="00FC128E" w:rsidP="00FC128E">
      <w:pPr>
        <w:pStyle w:val="Prrafodelista"/>
        <w:spacing w:beforeAutospacing="1" w:afterAutospacing="1" w:line="240" w:lineRule="auto"/>
        <w:jc w:val="both"/>
        <w:rPr>
          <w:rFonts w:ascii="Work Sans" w:eastAsia="Arial" w:hAnsi="Work Sans" w:cs="Arial"/>
          <w:sz w:val="22"/>
          <w:szCs w:val="22"/>
        </w:rPr>
      </w:pPr>
    </w:p>
    <w:p w14:paraId="236BE572" w14:textId="77777777" w:rsidR="00FC128E" w:rsidRPr="004466CC" w:rsidRDefault="00FC128E" w:rsidP="00FC128E">
      <w:pPr>
        <w:pStyle w:val="Prrafodelista"/>
        <w:spacing w:beforeAutospacing="1" w:afterAutospacing="1" w:line="240" w:lineRule="auto"/>
        <w:jc w:val="both"/>
        <w:rPr>
          <w:rFonts w:ascii="Work Sans" w:eastAsia="Arial" w:hAnsi="Work Sans" w:cs="Arial"/>
          <w:sz w:val="22"/>
          <w:szCs w:val="22"/>
        </w:rPr>
      </w:pPr>
      <w:r w:rsidRPr="004466CC">
        <w:rPr>
          <w:rFonts w:ascii="Work Sans" w:eastAsia="Arial" w:hAnsi="Work Sans" w:cs="Arial"/>
          <w:sz w:val="22"/>
          <w:szCs w:val="22"/>
        </w:rPr>
        <w:t xml:space="preserve">En efecto, si el análisis parte de 500 usuarios con una demanda objetivo de 173 kWh/mes por usuario, la correspondencia entre dicha demanda y el consumo mensual total incorporado en el modelo no es coherente. Esta situación afecta la correcta estimación de la energía objeto del beneficio </w:t>
      </w:r>
      <w:proofErr w:type="gramStart"/>
      <w:r w:rsidRPr="004466CC">
        <w:rPr>
          <w:rFonts w:ascii="Work Sans" w:eastAsia="Arial" w:hAnsi="Work Sans" w:cs="Arial"/>
          <w:sz w:val="22"/>
          <w:szCs w:val="22"/>
        </w:rPr>
        <w:t>y ,</w:t>
      </w:r>
      <w:proofErr w:type="gramEnd"/>
      <w:r w:rsidRPr="004466CC">
        <w:rPr>
          <w:rFonts w:ascii="Work Sans" w:eastAsia="Arial" w:hAnsi="Work Sans" w:cs="Arial"/>
          <w:sz w:val="22"/>
          <w:szCs w:val="22"/>
        </w:rPr>
        <w:t xml:space="preserve"> la energía remanente tomada del SIN por los usuarios y la cuantificación de los excedentes, incidiendo directamente en la valoración de los créditos energéticos, el beneficio tarifario para el usuario, la determinación de la base de subsidios y la proyección de sostenibilidad financiera del esquema.</w:t>
      </w:r>
    </w:p>
    <w:p w14:paraId="7D4DFA43" w14:textId="77777777" w:rsidR="00FC128E" w:rsidRPr="004466CC" w:rsidRDefault="00FC128E" w:rsidP="00FC128E">
      <w:pPr>
        <w:spacing w:beforeAutospacing="1" w:afterAutospacing="1" w:line="240" w:lineRule="auto"/>
        <w:ind w:left="360"/>
        <w:jc w:val="both"/>
        <w:rPr>
          <w:rFonts w:ascii="Work Sans" w:eastAsia="Arial" w:hAnsi="Work Sans" w:cs="Arial"/>
          <w:lang w:eastAsia="es-CO"/>
        </w:rPr>
      </w:pPr>
      <w:r w:rsidRPr="004466CC">
        <w:rPr>
          <w:rFonts w:ascii="Work Sans" w:eastAsia="Arial" w:hAnsi="Work Sans" w:cs="Arial"/>
          <w:lang w:eastAsia="es-CO"/>
        </w:rPr>
        <w:t xml:space="preserve">3.3 Construcción de los flujos de caja del proyecto  </w:t>
      </w:r>
    </w:p>
    <w:p w14:paraId="3386D0DB" w14:textId="77777777" w:rsidR="00FC128E" w:rsidRPr="004466CC" w:rsidRDefault="00FC128E" w:rsidP="00FC128E">
      <w:pPr>
        <w:spacing w:beforeAutospacing="1" w:afterAutospacing="1" w:line="240" w:lineRule="auto"/>
        <w:ind w:left="708"/>
        <w:jc w:val="both"/>
        <w:rPr>
          <w:rFonts w:ascii="Work Sans" w:eastAsia="Arial" w:hAnsi="Work Sans" w:cs="Arial"/>
          <w:lang w:eastAsia="es-CO"/>
        </w:rPr>
      </w:pPr>
      <w:r w:rsidRPr="004466CC">
        <w:rPr>
          <w:rFonts w:ascii="Work Sans" w:eastAsia="Arial" w:hAnsi="Work Sans" w:cs="Arial"/>
          <w:lang w:eastAsia="es-CO"/>
        </w:rPr>
        <w:t>Se evidencia una falla conceptual en la construcción del flujo de caja, al incorporar como ingresos de la comunidad energética valores que, conforme al marco regulatorio, corresponden al comercializador (particularmente aquellos asociados a la prestación del servicio de comercialización – tarifa subsidiada).</w:t>
      </w:r>
    </w:p>
    <w:p w14:paraId="5607266B" w14:textId="77777777" w:rsidR="00FC128E" w:rsidRPr="004466CC" w:rsidRDefault="00FC128E" w:rsidP="00FC128E">
      <w:pPr>
        <w:spacing w:beforeAutospacing="1" w:afterAutospacing="1" w:line="240" w:lineRule="auto"/>
        <w:ind w:left="708"/>
        <w:jc w:val="both"/>
        <w:rPr>
          <w:rFonts w:ascii="Work Sans" w:eastAsia="Arial" w:hAnsi="Work Sans" w:cs="Arial"/>
          <w:lang w:eastAsia="es-CO"/>
        </w:rPr>
      </w:pPr>
      <w:r w:rsidRPr="004466CC">
        <w:rPr>
          <w:rFonts w:ascii="Work Sans" w:eastAsia="Arial" w:hAnsi="Work Sans" w:cs="Arial"/>
          <w:lang w:eastAsia="es-CO"/>
        </w:rPr>
        <w:t>Este tratamiento en el flujo de caja implica una contabilización de ingresos que no están asociados a la operación de la solución PV y desconoce la separación de roles de la cadena de prestación del servicio establecida en la Ley 142 de 1994 y desarrollada por la regulación CREG, afectando la correcta proyección de los flujos de caja y evaluación de la sostenibilidad financiera del proyecto.</w:t>
      </w:r>
    </w:p>
    <w:p w14:paraId="6B59ADEF" w14:textId="77777777" w:rsidR="00FC128E" w:rsidRPr="004466CC" w:rsidRDefault="00FC128E" w:rsidP="00FC128E">
      <w:pPr>
        <w:spacing w:beforeAutospacing="1" w:afterAutospacing="1" w:line="240" w:lineRule="auto"/>
        <w:ind w:left="708"/>
        <w:jc w:val="both"/>
        <w:rPr>
          <w:rFonts w:ascii="Work Sans" w:eastAsia="Arial" w:hAnsi="Work Sans" w:cs="Arial"/>
          <w:lang w:eastAsia="es-CO"/>
        </w:rPr>
      </w:pPr>
    </w:p>
    <w:p w14:paraId="6A72AC92" w14:textId="77777777" w:rsidR="00FC128E" w:rsidRPr="004466CC" w:rsidRDefault="00FC128E" w:rsidP="00FC128E">
      <w:pPr>
        <w:pStyle w:val="Prrafodelista"/>
        <w:numPr>
          <w:ilvl w:val="0"/>
          <w:numId w:val="2"/>
        </w:numPr>
        <w:spacing w:after="0" w:line="276" w:lineRule="auto"/>
        <w:jc w:val="both"/>
        <w:rPr>
          <w:rFonts w:ascii="Work Sans" w:eastAsia="Arial" w:hAnsi="Work Sans" w:cs="Arial"/>
          <w:b/>
          <w:bCs/>
          <w:sz w:val="22"/>
          <w:szCs w:val="22"/>
        </w:rPr>
      </w:pPr>
      <w:r w:rsidRPr="004466CC">
        <w:rPr>
          <w:rFonts w:ascii="Work Sans" w:eastAsia="Arial" w:hAnsi="Work Sans" w:cs="Arial"/>
          <w:b/>
          <w:bCs/>
          <w:sz w:val="22"/>
          <w:szCs w:val="22"/>
        </w:rPr>
        <w:t>Consideraciones sobre costos de A.O.M. y economías de escala.</w:t>
      </w:r>
    </w:p>
    <w:p w14:paraId="4C535BE4" w14:textId="77777777" w:rsidR="00FC128E" w:rsidRPr="004466CC" w:rsidRDefault="00FC128E" w:rsidP="00FC128E">
      <w:pPr>
        <w:spacing w:before="240" w:after="240"/>
        <w:jc w:val="both"/>
        <w:rPr>
          <w:rFonts w:ascii="Work Sans" w:eastAsia="Arial" w:hAnsi="Work Sans" w:cs="Arial"/>
        </w:rPr>
      </w:pPr>
      <w:r w:rsidRPr="004466CC">
        <w:rPr>
          <w:rFonts w:ascii="Work Sans" w:eastAsiaTheme="majorEastAsia" w:hAnsi="Work Sans" w:cs="Arial"/>
        </w:rPr>
        <w:t>E</w:t>
      </w:r>
      <w:r w:rsidRPr="004466CC">
        <w:rPr>
          <w:rFonts w:ascii="Work Sans" w:eastAsia="Arial" w:hAnsi="Work Sans" w:cs="Arial"/>
        </w:rPr>
        <w:t xml:space="preserve">n relación con el componente de Administración, Operación y Mantenimiento (A.O.M.), el modelo remitido no refleja adecuadamente las economías de escala previstas a partir de la de la estructuración de la AFPEI ni los lineamientos definidos en las mesas de trabajo entre FENOGE y el Ministerio. Si bien, los parámetros iniciales partieron de la propuesta base de FENOGE considerados en los estudios previos realizados para el contrato que originó estos proyectos desde el MME se propusieron ajustes orientados a mejorar la eficiencia operativa y fortalecer la sostenibilidad del esquema, especialmente tratándose de proyectos de base comunitaria. Como resultado, frente al ejercicio inicial de A.O.M. presentado por el contratista UT-Energiza, revisado por FENOGE y el MME a finales de 2025, se obtuvo un valor ajustado, que debe ser tenido en cuenta para el análisis o para el ejercicio comparativo que realizaremos. </w:t>
      </w:r>
    </w:p>
    <w:p w14:paraId="34F92786" w14:textId="5CFC54A5" w:rsidR="00FC128E" w:rsidRPr="004466CC" w:rsidRDefault="00FC128E" w:rsidP="00FC128E">
      <w:pPr>
        <w:spacing w:before="240" w:after="240"/>
        <w:jc w:val="both"/>
        <w:rPr>
          <w:rFonts w:ascii="Work Sans" w:eastAsia="Arial" w:hAnsi="Work Sans" w:cs="Arial"/>
        </w:rPr>
      </w:pPr>
      <w:r w:rsidRPr="004466CC">
        <w:rPr>
          <w:rFonts w:ascii="Work Sans" w:eastAsia="Arial" w:hAnsi="Work Sans" w:cs="Arial"/>
        </w:rPr>
        <w:t xml:space="preserve">Ahora bien, en la desagregación del OPEX, del modelo remitido por </w:t>
      </w:r>
      <w:r w:rsidR="004466CC" w:rsidRPr="004466CC">
        <w:rPr>
          <w:rFonts w:ascii="Work Sans" w:eastAsia="Arial" w:hAnsi="Work Sans" w:cs="Arial"/>
        </w:rPr>
        <w:t>Uds., particularmente</w:t>
      </w:r>
      <w:r w:rsidRPr="004466CC">
        <w:rPr>
          <w:rFonts w:ascii="Work Sans" w:eastAsia="Arial" w:hAnsi="Work Sans" w:cs="Arial"/>
        </w:rPr>
        <w:t xml:space="preserve"> en el cuadro de personal y administración operativa, se observan rubros con dedicaciones entre el 25%, 35% y 100%, lo que evidencia criterios dispares de asignación. Mientras algunas actividades asumen cobertura para varias plantas, en el caso del “</w:t>
      </w:r>
      <w:r w:rsidRPr="004466CC">
        <w:rPr>
          <w:rFonts w:ascii="Work Sans" w:eastAsia="Arial" w:hAnsi="Work Sans" w:cs="Arial"/>
          <w:i/>
          <w:iCs/>
        </w:rPr>
        <w:t>Técnico de mantenimiento FV”</w:t>
      </w:r>
      <w:r w:rsidRPr="004466CC">
        <w:rPr>
          <w:rFonts w:ascii="Work Sans" w:eastAsia="Arial" w:hAnsi="Work Sans" w:cs="Arial"/>
        </w:rPr>
        <w:t xml:space="preserve"> se proyecta dedicación exclusiva a una sola planta durante todo el año. En la valoración se suman salarios base de personal operativo y primas de campo para la actividad de mantenimiento preventivo, y en el caso del mantenimiento correctivo se estima un valor adicional anual con base en unas tasas anuales aplicables al </w:t>
      </w:r>
      <w:proofErr w:type="spellStart"/>
      <w:r w:rsidRPr="004466CC">
        <w:rPr>
          <w:rFonts w:ascii="Work Sans" w:eastAsia="Arial" w:hAnsi="Work Sans" w:cs="Arial"/>
        </w:rPr>
        <w:t>Capex</w:t>
      </w:r>
      <w:proofErr w:type="spellEnd"/>
      <w:r w:rsidRPr="004466CC">
        <w:rPr>
          <w:rFonts w:ascii="Work Sans" w:eastAsia="Arial" w:hAnsi="Work Sans" w:cs="Arial"/>
        </w:rPr>
        <w:t xml:space="preserve"> Mantenible. Para el análisis agregado de estos costos se requiere un soporte más detallado, de forma que se determina la razonabilidad en la valoración separada del salario base y otros costos valorados en el mantenimiento preventivo, así como el uso de factores para estimar el mantenimiento correctivo.</w:t>
      </w:r>
    </w:p>
    <w:p w14:paraId="556E1685" w14:textId="77777777" w:rsidR="00FC128E" w:rsidRPr="004466CC" w:rsidRDefault="00FC128E" w:rsidP="00FC128E">
      <w:pPr>
        <w:spacing w:before="240" w:after="240"/>
        <w:jc w:val="both"/>
        <w:rPr>
          <w:rFonts w:ascii="Work Sans" w:eastAsia="Arial" w:hAnsi="Work Sans" w:cs="Arial"/>
        </w:rPr>
      </w:pPr>
      <w:r w:rsidRPr="004466CC">
        <w:rPr>
          <w:rFonts w:ascii="Work Sans" w:eastAsia="Arial" w:hAnsi="Work Sans" w:cs="Arial"/>
        </w:rPr>
        <w:t xml:space="preserve">Adicionalmente, en la tabla de </w:t>
      </w:r>
      <w:r w:rsidRPr="004466CC">
        <w:rPr>
          <w:rFonts w:ascii="Work Sans" w:eastAsia="Arial" w:hAnsi="Work Sans" w:cs="Arial"/>
          <w:i/>
          <w:iCs/>
        </w:rPr>
        <w:t>“Servicios, seguros y generales</w:t>
      </w:r>
      <w:r w:rsidRPr="004466CC">
        <w:rPr>
          <w:rFonts w:ascii="Work Sans" w:eastAsia="Arial" w:hAnsi="Work Sans" w:cs="Arial"/>
        </w:rPr>
        <w:t xml:space="preserve">” se incorpora un rubro de “Contingencia operativa” por valor de $12 millones, mientras que en el flujo de caja este mismo concepto parece reflejarse dentro del ítem “Mantenimiento correctivo recurrente al año” y, de forma adicional, bajo el concepto de “Reserva contingente al año” se proyectan otros $12 millones. Esta situación sugiere una posible duplicidad en la valoración de contingencias, generando una sobreestimación del costo total de A.O.M. </w:t>
      </w:r>
    </w:p>
    <w:p w14:paraId="7B62DA28" w14:textId="77777777" w:rsidR="00FC128E" w:rsidRPr="004466CC" w:rsidRDefault="00FC128E" w:rsidP="00FC128E">
      <w:pPr>
        <w:spacing w:before="240" w:after="240"/>
        <w:jc w:val="both"/>
        <w:rPr>
          <w:rFonts w:ascii="Work Sans" w:eastAsia="Arial" w:hAnsi="Work Sans" w:cs="Arial"/>
        </w:rPr>
      </w:pPr>
      <w:r w:rsidRPr="004466CC">
        <w:rPr>
          <w:rFonts w:ascii="Work Sans" w:eastAsia="Arial" w:hAnsi="Work Sans" w:cs="Arial"/>
        </w:rPr>
        <w:lastRenderedPageBreak/>
        <w:t>En particular, el subtotal de $324.498.675 COP para mantenimiento preventivo y correctivo recurrente representa el 4,64% del CAPEX total, porcentaje superior a los rangos de referencia internacional ajustados al contexto colombiano, que se ubican entre el 2% y el 4% según NREL (2023) e IRENA (2023).</w:t>
      </w:r>
    </w:p>
    <w:p w14:paraId="1A583BAD" w14:textId="1293B31A" w:rsidR="00FC128E" w:rsidRPr="004466CC" w:rsidRDefault="00FC128E" w:rsidP="00FC128E">
      <w:pPr>
        <w:spacing w:before="240" w:after="240"/>
        <w:jc w:val="both"/>
        <w:rPr>
          <w:rFonts w:ascii="Work Sans" w:eastAsia="Arial" w:hAnsi="Work Sans" w:cs="Arial"/>
        </w:rPr>
      </w:pPr>
      <w:r w:rsidRPr="004466CC">
        <w:rPr>
          <w:rFonts w:ascii="Work Sans" w:eastAsia="Arial" w:hAnsi="Work Sans" w:cs="Arial"/>
        </w:rPr>
        <w:t xml:space="preserve">Por ello, la simulación debe incorporar el criterio de economías de escala como elemento esencial de sostenibilidad y de un modelo de base comunitaria. La operación centralizada de múltiples granjas solares -mínimo seis proyectos bajo un mismo esquema operativo o de determinación de costos- permite eficiencias operativas que deben reflejarse en menores costos unitarios de A.O.M. En ese sentido, resulta más adecuada la valoración soportada en el análisis de precios unitarios (APU) de las actividades de mantenimiento preventivo y correctivo, ejercicio previamente conciliado como se mencionó anteriormente. </w:t>
      </w:r>
      <w:r w:rsidRPr="004466CC">
        <w:rPr>
          <w:rFonts w:ascii="Work Sans" w:eastAsia="Arial" w:hAnsi="Work Sans" w:cs="Arial"/>
          <w:lang w:eastAsia="es-CO"/>
        </w:rPr>
        <w:t xml:space="preserve">Es importante mencionar que este último costo de AOM se utilizó como base en el modelo aprobado por el MME. </w:t>
      </w:r>
      <w:r w:rsidRPr="004466CC">
        <w:rPr>
          <w:rFonts w:ascii="Work Sans" w:eastAsia="Arial" w:hAnsi="Work Sans" w:cs="Arial"/>
        </w:rPr>
        <w:t xml:space="preserve">Para efectos de la comparación del OPEX contemplado en los dos ejercicios de modelación, primero se excluye de la </w:t>
      </w:r>
      <w:r w:rsidR="004466CC" w:rsidRPr="004466CC">
        <w:rPr>
          <w:rFonts w:ascii="Work Sans" w:eastAsia="Arial" w:hAnsi="Work Sans" w:cs="Arial"/>
        </w:rPr>
        <w:t>simulación FENOGE</w:t>
      </w:r>
      <w:r w:rsidRPr="004466CC">
        <w:rPr>
          <w:rFonts w:ascii="Work Sans" w:eastAsia="Arial" w:hAnsi="Work Sans" w:cs="Arial"/>
        </w:rPr>
        <w:t xml:space="preserve"> el mantenimiento correctivo y reserva contingente anual (rubros que en el modelo del MME se contemplaron con cargo al fondo de sostenibilidad de AOM generado por el proyecto en el escenario esperado de operación). Como se observa en la siguiente tabla, el valor utilizado por FENOGE representa un 58% adicional al valor utilizado en el modelo aprobado por el MME, donde los rubros con mayor variación corresponden al Monitoreo (+87%) y gastos de Operación y mantenimiento (+130%). Así mismo se observa el efecto en </w:t>
      </w:r>
      <w:proofErr w:type="gramStart"/>
      <w:r w:rsidRPr="004466CC">
        <w:rPr>
          <w:rFonts w:ascii="Work Sans" w:eastAsia="Arial" w:hAnsi="Work Sans" w:cs="Arial"/>
        </w:rPr>
        <w:t>el ratio</w:t>
      </w:r>
      <w:proofErr w:type="gramEnd"/>
      <w:r w:rsidRPr="004466CC">
        <w:rPr>
          <w:rFonts w:ascii="Work Sans" w:eastAsia="Arial" w:hAnsi="Work Sans" w:cs="Arial"/>
        </w:rPr>
        <w:t xml:space="preserve"> de referencia respecto de la relación entre el </w:t>
      </w:r>
      <w:proofErr w:type="spellStart"/>
      <w:r w:rsidRPr="004466CC">
        <w:rPr>
          <w:rFonts w:ascii="Work Sans" w:eastAsia="Arial" w:hAnsi="Work Sans" w:cs="Arial"/>
        </w:rPr>
        <w:t>Opex</w:t>
      </w:r>
      <w:proofErr w:type="spellEnd"/>
      <w:r w:rsidRPr="004466CC">
        <w:rPr>
          <w:rFonts w:ascii="Work Sans" w:eastAsia="Arial" w:hAnsi="Work Sans" w:cs="Arial"/>
        </w:rPr>
        <w:t xml:space="preserve"> y el </w:t>
      </w:r>
      <w:proofErr w:type="spellStart"/>
      <w:r w:rsidRPr="004466CC">
        <w:rPr>
          <w:rFonts w:ascii="Work Sans" w:eastAsia="Arial" w:hAnsi="Work Sans" w:cs="Arial"/>
        </w:rPr>
        <w:t>Capex</w:t>
      </w:r>
      <w:proofErr w:type="spellEnd"/>
      <w:r w:rsidRPr="004466CC">
        <w:rPr>
          <w:rFonts w:ascii="Work Sans" w:eastAsia="Arial" w:hAnsi="Work Sans" w:cs="Arial"/>
        </w:rPr>
        <w:t xml:space="preserve"> Total en donde se evidencia el efecto de la eficiencia considerada por el modelo de economías de escala y valoración a nivel de APU de los valores considerados en el modelo aprobado por el MME.</w:t>
      </w:r>
    </w:p>
    <w:p w14:paraId="45F61B29" w14:textId="77777777" w:rsidR="00FC128E" w:rsidRPr="004466CC" w:rsidRDefault="00FC128E" w:rsidP="00FC128E">
      <w:pPr>
        <w:spacing w:before="240" w:after="240"/>
        <w:jc w:val="both"/>
        <w:rPr>
          <w:rFonts w:ascii="Work Sans" w:eastAsia="Arial" w:hAnsi="Work Sans" w:cs="Arial"/>
        </w:rPr>
      </w:pPr>
      <w:r w:rsidRPr="004466CC">
        <w:rPr>
          <w:rFonts w:ascii="Work Sans" w:eastAsia="Arial" w:hAnsi="Work Sans" w:cs="Arial"/>
        </w:rPr>
        <w:t>Comparación homogénea del AOM –Preventivo- (Valores en COP)</w:t>
      </w:r>
    </w:p>
    <w:tbl>
      <w:tblPr>
        <w:tblW w:w="0" w:type="auto"/>
        <w:tblLook w:val="04A0" w:firstRow="1" w:lastRow="0" w:firstColumn="1" w:lastColumn="0" w:noHBand="0" w:noVBand="1"/>
      </w:tblPr>
      <w:tblGrid>
        <w:gridCol w:w="1760"/>
        <w:gridCol w:w="1282"/>
        <w:gridCol w:w="1759"/>
        <w:gridCol w:w="1641"/>
        <w:gridCol w:w="1414"/>
        <w:gridCol w:w="1548"/>
      </w:tblGrid>
      <w:tr w:rsidR="00FC128E" w:rsidRPr="004466CC" w14:paraId="3C4D2FF5" w14:textId="77777777" w:rsidTr="00926C7E">
        <w:trPr>
          <w:trHeight w:val="120"/>
        </w:trPr>
        <w:tc>
          <w:tcPr>
            <w:tcW w:w="1800" w:type="dxa"/>
            <w:tcMar>
              <w:left w:w="70" w:type="dxa"/>
              <w:right w:w="70" w:type="dxa"/>
            </w:tcMar>
            <w:vAlign w:val="bottom"/>
          </w:tcPr>
          <w:p w14:paraId="0D7CE065" w14:textId="77777777" w:rsidR="00FC128E" w:rsidRPr="004466CC" w:rsidRDefault="00FC128E" w:rsidP="00926C7E">
            <w:pPr>
              <w:rPr>
                <w:rFonts w:ascii="Work Sans" w:hAnsi="Work Sans"/>
                <w:sz w:val="20"/>
                <w:szCs w:val="20"/>
              </w:rPr>
            </w:pPr>
          </w:p>
        </w:tc>
        <w:tc>
          <w:tcPr>
            <w:tcW w:w="1290" w:type="dxa"/>
            <w:tcMar>
              <w:left w:w="70" w:type="dxa"/>
              <w:right w:w="70" w:type="dxa"/>
            </w:tcMar>
            <w:vAlign w:val="bottom"/>
          </w:tcPr>
          <w:p w14:paraId="0AB936C5" w14:textId="77777777" w:rsidR="00FC128E" w:rsidRPr="004466CC" w:rsidRDefault="00FC128E" w:rsidP="00926C7E">
            <w:pPr>
              <w:spacing w:after="0"/>
              <w:jc w:val="center"/>
              <w:rPr>
                <w:rFonts w:ascii="Work Sans" w:eastAsia="Arial" w:hAnsi="Work Sans" w:cs="Arial"/>
                <w:b/>
                <w:bCs/>
                <w:sz w:val="18"/>
                <w:szCs w:val="18"/>
              </w:rPr>
            </w:pPr>
            <w:r w:rsidRPr="004466CC">
              <w:rPr>
                <w:rFonts w:ascii="Work Sans" w:eastAsia="Arial" w:hAnsi="Work Sans" w:cs="Arial"/>
                <w:b/>
                <w:bCs/>
                <w:sz w:val="18"/>
                <w:szCs w:val="18"/>
              </w:rPr>
              <w:t>Monitoreo</w:t>
            </w:r>
          </w:p>
        </w:tc>
        <w:tc>
          <w:tcPr>
            <w:tcW w:w="1770" w:type="dxa"/>
            <w:tcMar>
              <w:left w:w="70" w:type="dxa"/>
              <w:right w:w="70" w:type="dxa"/>
            </w:tcMar>
            <w:vAlign w:val="bottom"/>
          </w:tcPr>
          <w:p w14:paraId="7E76E041" w14:textId="77777777" w:rsidR="00FC128E" w:rsidRPr="004466CC" w:rsidRDefault="00FC128E" w:rsidP="00926C7E">
            <w:pPr>
              <w:spacing w:after="0"/>
              <w:jc w:val="center"/>
              <w:rPr>
                <w:rFonts w:ascii="Work Sans" w:eastAsia="Arial" w:hAnsi="Work Sans" w:cs="Arial"/>
                <w:b/>
                <w:bCs/>
                <w:sz w:val="18"/>
                <w:szCs w:val="18"/>
              </w:rPr>
            </w:pPr>
            <w:r w:rsidRPr="004466CC">
              <w:rPr>
                <w:rFonts w:ascii="Work Sans" w:eastAsia="Arial" w:hAnsi="Work Sans" w:cs="Arial"/>
                <w:b/>
                <w:bCs/>
                <w:sz w:val="18"/>
                <w:szCs w:val="18"/>
              </w:rPr>
              <w:t>Administrativos</w:t>
            </w:r>
          </w:p>
        </w:tc>
        <w:tc>
          <w:tcPr>
            <w:tcW w:w="1665" w:type="dxa"/>
            <w:tcMar>
              <w:left w:w="70" w:type="dxa"/>
              <w:right w:w="70" w:type="dxa"/>
            </w:tcMar>
            <w:vAlign w:val="bottom"/>
          </w:tcPr>
          <w:p w14:paraId="318622C3" w14:textId="77777777" w:rsidR="00FC128E" w:rsidRPr="004466CC" w:rsidRDefault="00FC128E" w:rsidP="00926C7E">
            <w:pPr>
              <w:spacing w:after="0"/>
              <w:jc w:val="center"/>
              <w:rPr>
                <w:rFonts w:ascii="Work Sans" w:eastAsia="Arial" w:hAnsi="Work Sans" w:cs="Arial"/>
                <w:b/>
                <w:bCs/>
                <w:sz w:val="18"/>
                <w:szCs w:val="18"/>
              </w:rPr>
            </w:pPr>
            <w:r w:rsidRPr="004466CC">
              <w:rPr>
                <w:rFonts w:ascii="Work Sans" w:eastAsia="Arial" w:hAnsi="Work Sans" w:cs="Arial"/>
                <w:b/>
                <w:bCs/>
                <w:sz w:val="18"/>
                <w:szCs w:val="18"/>
              </w:rPr>
              <w:t>O&amp;M</w:t>
            </w:r>
          </w:p>
        </w:tc>
        <w:tc>
          <w:tcPr>
            <w:tcW w:w="1425" w:type="dxa"/>
            <w:tcMar>
              <w:left w:w="70" w:type="dxa"/>
              <w:right w:w="70" w:type="dxa"/>
            </w:tcMar>
            <w:vAlign w:val="bottom"/>
          </w:tcPr>
          <w:p w14:paraId="01F06424" w14:textId="77777777" w:rsidR="00FC128E" w:rsidRPr="004466CC" w:rsidRDefault="00FC128E" w:rsidP="00926C7E">
            <w:pPr>
              <w:spacing w:after="0"/>
              <w:jc w:val="center"/>
              <w:rPr>
                <w:rFonts w:ascii="Work Sans" w:eastAsia="Arial" w:hAnsi="Work Sans" w:cs="Arial"/>
                <w:b/>
                <w:bCs/>
                <w:sz w:val="18"/>
                <w:szCs w:val="18"/>
              </w:rPr>
            </w:pPr>
            <w:r w:rsidRPr="004466CC">
              <w:rPr>
                <w:rFonts w:ascii="Work Sans" w:eastAsia="Arial" w:hAnsi="Work Sans" w:cs="Arial"/>
                <w:b/>
                <w:bCs/>
                <w:sz w:val="18"/>
                <w:szCs w:val="18"/>
              </w:rPr>
              <w:t>Total</w:t>
            </w:r>
          </w:p>
        </w:tc>
        <w:tc>
          <w:tcPr>
            <w:tcW w:w="1590" w:type="dxa"/>
            <w:tcMar>
              <w:left w:w="70" w:type="dxa"/>
              <w:right w:w="70" w:type="dxa"/>
            </w:tcMar>
            <w:vAlign w:val="bottom"/>
          </w:tcPr>
          <w:p w14:paraId="7E3E6F9F" w14:textId="77777777" w:rsidR="00FC128E" w:rsidRPr="004466CC" w:rsidRDefault="00FC128E" w:rsidP="00926C7E">
            <w:pPr>
              <w:spacing w:after="0"/>
              <w:jc w:val="center"/>
              <w:rPr>
                <w:rFonts w:ascii="Work Sans" w:eastAsia="Arial" w:hAnsi="Work Sans" w:cs="Arial"/>
                <w:b/>
                <w:bCs/>
                <w:sz w:val="18"/>
                <w:szCs w:val="18"/>
              </w:rPr>
            </w:pPr>
            <w:r w:rsidRPr="004466CC">
              <w:rPr>
                <w:rFonts w:ascii="Work Sans" w:eastAsia="Arial" w:hAnsi="Work Sans" w:cs="Arial"/>
                <w:b/>
                <w:bCs/>
                <w:sz w:val="18"/>
                <w:szCs w:val="18"/>
              </w:rPr>
              <w:t>% del total del CAPEX</w:t>
            </w:r>
          </w:p>
        </w:tc>
      </w:tr>
      <w:tr w:rsidR="00FC128E" w:rsidRPr="004466CC" w14:paraId="6F08F6CD" w14:textId="77777777" w:rsidTr="00926C7E">
        <w:trPr>
          <w:trHeight w:val="120"/>
        </w:trPr>
        <w:tc>
          <w:tcPr>
            <w:tcW w:w="1800" w:type="dxa"/>
            <w:tcMar>
              <w:left w:w="70" w:type="dxa"/>
              <w:right w:w="70" w:type="dxa"/>
            </w:tcMar>
            <w:vAlign w:val="center"/>
          </w:tcPr>
          <w:p w14:paraId="7835AAE2" w14:textId="77777777" w:rsidR="00FC128E" w:rsidRPr="004466CC" w:rsidRDefault="00FC128E" w:rsidP="00926C7E">
            <w:pPr>
              <w:spacing w:after="0"/>
              <w:jc w:val="center"/>
              <w:rPr>
                <w:rFonts w:ascii="Work Sans" w:eastAsia="Arial" w:hAnsi="Work Sans" w:cs="Arial"/>
                <w:b/>
                <w:bCs/>
                <w:sz w:val="18"/>
                <w:szCs w:val="18"/>
              </w:rPr>
            </w:pPr>
            <w:r w:rsidRPr="004466CC">
              <w:rPr>
                <w:rFonts w:ascii="Work Sans" w:eastAsia="Arial" w:hAnsi="Work Sans" w:cs="Arial"/>
                <w:b/>
                <w:bCs/>
                <w:sz w:val="18"/>
                <w:szCs w:val="18"/>
              </w:rPr>
              <w:t xml:space="preserve">Modelo FENOGE </w:t>
            </w:r>
            <w:r w:rsidRPr="004466CC">
              <w:rPr>
                <w:rFonts w:ascii="Work Sans" w:eastAsia="Arial" w:hAnsi="Work Sans" w:cs="Arial"/>
                <w:b/>
                <w:bCs/>
                <w:sz w:val="18"/>
                <w:szCs w:val="18"/>
                <w:vertAlign w:val="superscript"/>
              </w:rPr>
              <w:t>(1)</w:t>
            </w:r>
          </w:p>
        </w:tc>
        <w:tc>
          <w:tcPr>
            <w:tcW w:w="1290" w:type="dxa"/>
            <w:tcMar>
              <w:left w:w="70" w:type="dxa"/>
              <w:right w:w="70" w:type="dxa"/>
            </w:tcMar>
            <w:vAlign w:val="center"/>
          </w:tcPr>
          <w:p w14:paraId="3DE99AFC" w14:textId="77777777" w:rsidR="00FC128E" w:rsidRPr="004466CC" w:rsidRDefault="00FC128E" w:rsidP="00926C7E">
            <w:pPr>
              <w:spacing w:after="0"/>
              <w:jc w:val="center"/>
              <w:rPr>
                <w:rFonts w:ascii="Work Sans" w:eastAsia="Arial" w:hAnsi="Work Sans" w:cs="Arial"/>
                <w:sz w:val="18"/>
                <w:szCs w:val="18"/>
              </w:rPr>
            </w:pPr>
            <w:r w:rsidRPr="004466CC">
              <w:rPr>
                <w:rFonts w:ascii="Work Sans" w:eastAsia="Arial" w:hAnsi="Work Sans" w:cs="Arial"/>
                <w:sz w:val="18"/>
                <w:szCs w:val="18"/>
              </w:rPr>
              <w:t>24.000.000</w:t>
            </w:r>
          </w:p>
        </w:tc>
        <w:tc>
          <w:tcPr>
            <w:tcW w:w="1770" w:type="dxa"/>
            <w:tcMar>
              <w:left w:w="70" w:type="dxa"/>
              <w:right w:w="70" w:type="dxa"/>
            </w:tcMar>
            <w:vAlign w:val="center"/>
          </w:tcPr>
          <w:p w14:paraId="45EB8B31" w14:textId="77777777" w:rsidR="00FC128E" w:rsidRPr="004466CC" w:rsidRDefault="00FC128E" w:rsidP="00926C7E">
            <w:pPr>
              <w:spacing w:after="0"/>
              <w:jc w:val="center"/>
              <w:rPr>
                <w:rFonts w:ascii="Work Sans" w:eastAsia="Arial" w:hAnsi="Work Sans" w:cs="Arial"/>
                <w:sz w:val="18"/>
                <w:szCs w:val="18"/>
              </w:rPr>
            </w:pPr>
            <w:r w:rsidRPr="004466CC">
              <w:rPr>
                <w:rFonts w:ascii="Work Sans" w:eastAsia="Arial" w:hAnsi="Work Sans" w:cs="Arial"/>
                <w:sz w:val="18"/>
                <w:szCs w:val="18"/>
              </w:rPr>
              <w:t>130.799.996</w:t>
            </w:r>
          </w:p>
        </w:tc>
        <w:tc>
          <w:tcPr>
            <w:tcW w:w="1665" w:type="dxa"/>
            <w:tcMar>
              <w:left w:w="70" w:type="dxa"/>
              <w:right w:w="70" w:type="dxa"/>
            </w:tcMar>
            <w:vAlign w:val="center"/>
          </w:tcPr>
          <w:p w14:paraId="7847A1E0" w14:textId="77777777" w:rsidR="00FC128E" w:rsidRPr="004466CC" w:rsidRDefault="00FC128E" w:rsidP="00926C7E">
            <w:pPr>
              <w:spacing w:after="0"/>
              <w:jc w:val="center"/>
              <w:rPr>
                <w:rFonts w:ascii="Work Sans" w:eastAsia="Arial" w:hAnsi="Work Sans" w:cs="Arial"/>
                <w:sz w:val="18"/>
                <w:szCs w:val="18"/>
              </w:rPr>
            </w:pPr>
            <w:r w:rsidRPr="004466CC">
              <w:rPr>
                <w:rFonts w:ascii="Work Sans" w:eastAsia="Arial" w:hAnsi="Work Sans" w:cs="Arial"/>
                <w:sz w:val="18"/>
                <w:szCs w:val="18"/>
              </w:rPr>
              <w:t>106.999.997</w:t>
            </w:r>
          </w:p>
        </w:tc>
        <w:tc>
          <w:tcPr>
            <w:tcW w:w="1425" w:type="dxa"/>
            <w:shd w:val="clear" w:color="auto" w:fill="E7E6E6" w:themeFill="background2"/>
            <w:tcMar>
              <w:left w:w="70" w:type="dxa"/>
              <w:right w:w="70" w:type="dxa"/>
            </w:tcMar>
            <w:vAlign w:val="center"/>
          </w:tcPr>
          <w:p w14:paraId="6F1A0EBA" w14:textId="77777777" w:rsidR="00FC128E" w:rsidRPr="004466CC" w:rsidRDefault="00FC128E" w:rsidP="00926C7E">
            <w:pPr>
              <w:spacing w:after="0"/>
              <w:jc w:val="center"/>
              <w:rPr>
                <w:rFonts w:ascii="Work Sans" w:eastAsia="Arial" w:hAnsi="Work Sans" w:cs="Arial"/>
                <w:b/>
                <w:bCs/>
                <w:sz w:val="18"/>
                <w:szCs w:val="18"/>
              </w:rPr>
            </w:pPr>
            <w:r w:rsidRPr="004466CC">
              <w:rPr>
                <w:rFonts w:ascii="Work Sans" w:eastAsia="Arial" w:hAnsi="Work Sans" w:cs="Arial"/>
                <w:b/>
                <w:bCs/>
                <w:sz w:val="18"/>
                <w:szCs w:val="18"/>
              </w:rPr>
              <w:t>261.799.994</w:t>
            </w:r>
          </w:p>
        </w:tc>
        <w:tc>
          <w:tcPr>
            <w:tcW w:w="1590" w:type="dxa"/>
            <w:tcMar>
              <w:left w:w="70" w:type="dxa"/>
              <w:right w:w="70" w:type="dxa"/>
            </w:tcMar>
            <w:vAlign w:val="center"/>
          </w:tcPr>
          <w:p w14:paraId="55B3D541" w14:textId="77777777" w:rsidR="00FC128E" w:rsidRPr="004466CC" w:rsidRDefault="00FC128E" w:rsidP="00926C7E">
            <w:pPr>
              <w:spacing w:after="0"/>
              <w:jc w:val="center"/>
              <w:rPr>
                <w:rFonts w:ascii="Work Sans" w:eastAsia="Arial" w:hAnsi="Work Sans" w:cs="Arial"/>
                <w:sz w:val="18"/>
                <w:szCs w:val="18"/>
              </w:rPr>
            </w:pPr>
            <w:r w:rsidRPr="004466CC">
              <w:rPr>
                <w:rFonts w:ascii="Work Sans" w:eastAsia="Arial" w:hAnsi="Work Sans" w:cs="Arial"/>
                <w:sz w:val="18"/>
                <w:szCs w:val="18"/>
              </w:rPr>
              <w:t>3,7%</w:t>
            </w:r>
          </w:p>
        </w:tc>
      </w:tr>
      <w:tr w:rsidR="00FC128E" w:rsidRPr="004466CC" w14:paraId="0348C861" w14:textId="77777777" w:rsidTr="00926C7E">
        <w:trPr>
          <w:trHeight w:val="540"/>
        </w:trPr>
        <w:tc>
          <w:tcPr>
            <w:tcW w:w="1800" w:type="dxa"/>
            <w:tcMar>
              <w:left w:w="70" w:type="dxa"/>
              <w:right w:w="70" w:type="dxa"/>
            </w:tcMar>
            <w:vAlign w:val="center"/>
          </w:tcPr>
          <w:p w14:paraId="45F10EA8" w14:textId="77777777" w:rsidR="00FC128E" w:rsidRPr="004466CC" w:rsidRDefault="00FC128E" w:rsidP="00926C7E">
            <w:pPr>
              <w:jc w:val="center"/>
              <w:rPr>
                <w:rFonts w:ascii="Work Sans" w:eastAsia="Arial" w:hAnsi="Work Sans" w:cs="Arial"/>
                <w:b/>
                <w:bCs/>
                <w:sz w:val="18"/>
                <w:szCs w:val="18"/>
              </w:rPr>
            </w:pPr>
            <w:r w:rsidRPr="004466CC">
              <w:rPr>
                <w:rFonts w:ascii="Work Sans" w:eastAsia="Arial" w:hAnsi="Work Sans" w:cs="Arial"/>
                <w:b/>
                <w:bCs/>
                <w:sz w:val="18"/>
                <w:szCs w:val="18"/>
              </w:rPr>
              <w:t>Modelo FENOGE aprobado MME</w:t>
            </w:r>
          </w:p>
        </w:tc>
        <w:tc>
          <w:tcPr>
            <w:tcW w:w="1290" w:type="dxa"/>
            <w:tcMar>
              <w:left w:w="70" w:type="dxa"/>
              <w:right w:w="70" w:type="dxa"/>
            </w:tcMar>
            <w:vAlign w:val="center"/>
          </w:tcPr>
          <w:p w14:paraId="4BCC2A5B" w14:textId="77777777" w:rsidR="00FC128E" w:rsidRPr="004466CC" w:rsidRDefault="00FC128E" w:rsidP="00926C7E">
            <w:pPr>
              <w:spacing w:after="0"/>
              <w:jc w:val="center"/>
              <w:rPr>
                <w:rFonts w:ascii="Work Sans" w:eastAsia="Arial" w:hAnsi="Work Sans" w:cs="Arial"/>
                <w:sz w:val="18"/>
                <w:szCs w:val="18"/>
              </w:rPr>
            </w:pPr>
            <w:r w:rsidRPr="004466CC">
              <w:rPr>
                <w:rFonts w:ascii="Work Sans" w:eastAsia="Arial" w:hAnsi="Work Sans" w:cs="Arial"/>
                <w:sz w:val="18"/>
                <w:szCs w:val="18"/>
              </w:rPr>
              <w:t>12.862.731</w:t>
            </w:r>
          </w:p>
        </w:tc>
        <w:tc>
          <w:tcPr>
            <w:tcW w:w="1770" w:type="dxa"/>
            <w:tcMar>
              <w:left w:w="70" w:type="dxa"/>
              <w:right w:w="70" w:type="dxa"/>
            </w:tcMar>
            <w:vAlign w:val="center"/>
          </w:tcPr>
          <w:p w14:paraId="7281D167" w14:textId="77777777" w:rsidR="00FC128E" w:rsidRPr="004466CC" w:rsidRDefault="00FC128E" w:rsidP="00926C7E">
            <w:pPr>
              <w:spacing w:after="0"/>
              <w:jc w:val="center"/>
              <w:rPr>
                <w:rFonts w:ascii="Work Sans" w:eastAsia="Arial" w:hAnsi="Work Sans" w:cs="Arial"/>
                <w:sz w:val="18"/>
                <w:szCs w:val="18"/>
              </w:rPr>
            </w:pPr>
            <w:r w:rsidRPr="004466CC">
              <w:rPr>
                <w:rFonts w:ascii="Work Sans" w:eastAsia="Arial" w:hAnsi="Work Sans" w:cs="Arial"/>
                <w:sz w:val="18"/>
                <w:szCs w:val="18"/>
              </w:rPr>
              <w:t>106.223.335</w:t>
            </w:r>
          </w:p>
        </w:tc>
        <w:tc>
          <w:tcPr>
            <w:tcW w:w="1665" w:type="dxa"/>
            <w:tcMar>
              <w:left w:w="70" w:type="dxa"/>
              <w:right w:w="70" w:type="dxa"/>
            </w:tcMar>
            <w:vAlign w:val="center"/>
          </w:tcPr>
          <w:p w14:paraId="794B4F48" w14:textId="77777777" w:rsidR="00FC128E" w:rsidRPr="004466CC" w:rsidRDefault="00FC128E" w:rsidP="00926C7E">
            <w:pPr>
              <w:spacing w:after="0"/>
              <w:jc w:val="center"/>
              <w:rPr>
                <w:rFonts w:ascii="Work Sans" w:eastAsia="Arial" w:hAnsi="Work Sans" w:cs="Arial"/>
                <w:sz w:val="18"/>
                <w:szCs w:val="18"/>
              </w:rPr>
            </w:pPr>
            <w:r w:rsidRPr="004466CC">
              <w:rPr>
                <w:rFonts w:ascii="Work Sans" w:eastAsia="Arial" w:hAnsi="Work Sans" w:cs="Arial"/>
                <w:sz w:val="18"/>
                <w:szCs w:val="18"/>
              </w:rPr>
              <w:t>46.574.981</w:t>
            </w:r>
          </w:p>
        </w:tc>
        <w:tc>
          <w:tcPr>
            <w:tcW w:w="1425" w:type="dxa"/>
            <w:shd w:val="clear" w:color="auto" w:fill="E7E6E6" w:themeFill="background2"/>
            <w:tcMar>
              <w:left w:w="70" w:type="dxa"/>
              <w:right w:w="70" w:type="dxa"/>
            </w:tcMar>
            <w:vAlign w:val="center"/>
          </w:tcPr>
          <w:p w14:paraId="592D6887" w14:textId="77777777" w:rsidR="00FC128E" w:rsidRPr="004466CC" w:rsidRDefault="00FC128E" w:rsidP="00926C7E">
            <w:pPr>
              <w:spacing w:after="0"/>
              <w:jc w:val="center"/>
              <w:rPr>
                <w:rFonts w:ascii="Work Sans" w:eastAsia="Arial" w:hAnsi="Work Sans" w:cs="Arial"/>
                <w:b/>
                <w:bCs/>
                <w:sz w:val="18"/>
                <w:szCs w:val="18"/>
              </w:rPr>
            </w:pPr>
            <w:r w:rsidRPr="004466CC">
              <w:rPr>
                <w:rFonts w:ascii="Work Sans" w:eastAsia="Arial" w:hAnsi="Work Sans" w:cs="Arial"/>
                <w:b/>
                <w:bCs/>
                <w:sz w:val="18"/>
                <w:szCs w:val="18"/>
              </w:rPr>
              <w:t>165.661.047</w:t>
            </w:r>
          </w:p>
        </w:tc>
        <w:tc>
          <w:tcPr>
            <w:tcW w:w="1590" w:type="dxa"/>
            <w:tcMar>
              <w:left w:w="70" w:type="dxa"/>
              <w:right w:w="70" w:type="dxa"/>
            </w:tcMar>
            <w:vAlign w:val="center"/>
          </w:tcPr>
          <w:p w14:paraId="3E0FE81F" w14:textId="77777777" w:rsidR="00FC128E" w:rsidRPr="004466CC" w:rsidRDefault="00FC128E" w:rsidP="00926C7E">
            <w:pPr>
              <w:spacing w:after="0"/>
              <w:jc w:val="center"/>
              <w:rPr>
                <w:rFonts w:ascii="Work Sans" w:eastAsia="Arial" w:hAnsi="Work Sans" w:cs="Arial"/>
                <w:sz w:val="18"/>
                <w:szCs w:val="18"/>
              </w:rPr>
            </w:pPr>
            <w:r w:rsidRPr="004466CC">
              <w:rPr>
                <w:rFonts w:ascii="Work Sans" w:eastAsia="Arial" w:hAnsi="Work Sans" w:cs="Arial"/>
                <w:sz w:val="18"/>
                <w:szCs w:val="18"/>
              </w:rPr>
              <w:t>2,4%</w:t>
            </w:r>
          </w:p>
        </w:tc>
      </w:tr>
      <w:tr w:rsidR="00FC128E" w:rsidRPr="004466CC" w14:paraId="3A4C0A41" w14:textId="77777777" w:rsidTr="00926C7E">
        <w:trPr>
          <w:trHeight w:val="308"/>
        </w:trPr>
        <w:tc>
          <w:tcPr>
            <w:tcW w:w="1800" w:type="dxa"/>
            <w:tcMar>
              <w:left w:w="70" w:type="dxa"/>
              <w:right w:w="70" w:type="dxa"/>
            </w:tcMar>
            <w:vAlign w:val="bottom"/>
          </w:tcPr>
          <w:p w14:paraId="1A3BDFEC" w14:textId="77777777" w:rsidR="00FC128E" w:rsidRPr="004466CC" w:rsidRDefault="00FC128E" w:rsidP="00926C7E">
            <w:pPr>
              <w:spacing w:after="0"/>
              <w:rPr>
                <w:rFonts w:ascii="Work Sans" w:eastAsia="Arial" w:hAnsi="Work Sans" w:cs="Arial"/>
                <w:sz w:val="14"/>
                <w:szCs w:val="14"/>
              </w:rPr>
            </w:pPr>
            <w:r w:rsidRPr="004466CC">
              <w:rPr>
                <w:rFonts w:ascii="Work Sans" w:eastAsia="Arial" w:hAnsi="Work Sans" w:cs="Arial"/>
                <w:sz w:val="14"/>
                <w:szCs w:val="14"/>
              </w:rPr>
              <w:t xml:space="preserve">% Variación </w:t>
            </w:r>
          </w:p>
        </w:tc>
        <w:tc>
          <w:tcPr>
            <w:tcW w:w="1290" w:type="dxa"/>
            <w:tcMar>
              <w:left w:w="70" w:type="dxa"/>
              <w:right w:w="70" w:type="dxa"/>
            </w:tcMar>
            <w:vAlign w:val="bottom"/>
          </w:tcPr>
          <w:p w14:paraId="060A1A6F" w14:textId="77777777" w:rsidR="00FC128E" w:rsidRPr="004466CC" w:rsidRDefault="00FC128E" w:rsidP="00926C7E">
            <w:pPr>
              <w:spacing w:after="0"/>
              <w:jc w:val="center"/>
              <w:rPr>
                <w:rFonts w:ascii="Work Sans" w:eastAsia="Arial" w:hAnsi="Work Sans" w:cs="Arial"/>
                <w:sz w:val="14"/>
                <w:szCs w:val="14"/>
              </w:rPr>
            </w:pPr>
            <w:r w:rsidRPr="004466CC">
              <w:rPr>
                <w:rFonts w:ascii="Work Sans" w:eastAsia="Arial" w:hAnsi="Work Sans" w:cs="Arial"/>
                <w:sz w:val="14"/>
                <w:szCs w:val="14"/>
              </w:rPr>
              <w:t>87%</w:t>
            </w:r>
          </w:p>
        </w:tc>
        <w:tc>
          <w:tcPr>
            <w:tcW w:w="1770" w:type="dxa"/>
            <w:tcMar>
              <w:left w:w="70" w:type="dxa"/>
              <w:right w:w="70" w:type="dxa"/>
            </w:tcMar>
            <w:vAlign w:val="bottom"/>
          </w:tcPr>
          <w:p w14:paraId="4CA4D98F" w14:textId="77777777" w:rsidR="00FC128E" w:rsidRPr="004466CC" w:rsidRDefault="00FC128E" w:rsidP="00926C7E">
            <w:pPr>
              <w:spacing w:after="0"/>
              <w:jc w:val="center"/>
              <w:rPr>
                <w:rFonts w:ascii="Work Sans" w:eastAsia="Arial" w:hAnsi="Work Sans" w:cs="Arial"/>
                <w:sz w:val="14"/>
                <w:szCs w:val="14"/>
              </w:rPr>
            </w:pPr>
            <w:r w:rsidRPr="004466CC">
              <w:rPr>
                <w:rFonts w:ascii="Work Sans" w:eastAsia="Arial" w:hAnsi="Work Sans" w:cs="Arial"/>
                <w:sz w:val="14"/>
                <w:szCs w:val="14"/>
              </w:rPr>
              <w:t>23%</w:t>
            </w:r>
          </w:p>
        </w:tc>
        <w:tc>
          <w:tcPr>
            <w:tcW w:w="1665" w:type="dxa"/>
            <w:tcMar>
              <w:left w:w="70" w:type="dxa"/>
              <w:right w:w="70" w:type="dxa"/>
            </w:tcMar>
            <w:vAlign w:val="bottom"/>
          </w:tcPr>
          <w:p w14:paraId="6B3B167E" w14:textId="77777777" w:rsidR="00FC128E" w:rsidRPr="004466CC" w:rsidRDefault="00FC128E" w:rsidP="00926C7E">
            <w:pPr>
              <w:spacing w:after="0"/>
              <w:jc w:val="center"/>
              <w:rPr>
                <w:rFonts w:ascii="Work Sans" w:eastAsia="Arial" w:hAnsi="Work Sans" w:cs="Arial"/>
                <w:sz w:val="14"/>
                <w:szCs w:val="14"/>
              </w:rPr>
            </w:pPr>
            <w:r w:rsidRPr="004466CC">
              <w:rPr>
                <w:rFonts w:ascii="Work Sans" w:eastAsia="Arial" w:hAnsi="Work Sans" w:cs="Arial"/>
                <w:sz w:val="14"/>
                <w:szCs w:val="14"/>
              </w:rPr>
              <w:t>130%</w:t>
            </w:r>
          </w:p>
        </w:tc>
        <w:tc>
          <w:tcPr>
            <w:tcW w:w="1425" w:type="dxa"/>
            <w:tcMar>
              <w:left w:w="70" w:type="dxa"/>
              <w:right w:w="70" w:type="dxa"/>
            </w:tcMar>
            <w:vAlign w:val="bottom"/>
          </w:tcPr>
          <w:p w14:paraId="54DACDEB" w14:textId="77777777" w:rsidR="00FC128E" w:rsidRPr="004466CC" w:rsidRDefault="00FC128E" w:rsidP="00926C7E">
            <w:pPr>
              <w:spacing w:after="0"/>
              <w:jc w:val="center"/>
              <w:rPr>
                <w:rFonts w:ascii="Work Sans" w:eastAsia="Arial" w:hAnsi="Work Sans" w:cs="Arial"/>
                <w:b/>
                <w:bCs/>
                <w:sz w:val="14"/>
                <w:szCs w:val="14"/>
              </w:rPr>
            </w:pPr>
            <w:r w:rsidRPr="004466CC">
              <w:rPr>
                <w:rFonts w:ascii="Work Sans" w:eastAsia="Arial" w:hAnsi="Work Sans" w:cs="Arial"/>
                <w:b/>
                <w:bCs/>
                <w:sz w:val="14"/>
                <w:szCs w:val="14"/>
              </w:rPr>
              <w:t>58%</w:t>
            </w:r>
          </w:p>
        </w:tc>
        <w:tc>
          <w:tcPr>
            <w:tcW w:w="1590" w:type="dxa"/>
            <w:tcMar>
              <w:left w:w="70" w:type="dxa"/>
              <w:right w:w="70" w:type="dxa"/>
            </w:tcMar>
            <w:vAlign w:val="bottom"/>
          </w:tcPr>
          <w:p w14:paraId="691A8ACF" w14:textId="77777777" w:rsidR="00FC128E" w:rsidRPr="004466CC" w:rsidRDefault="00FC128E" w:rsidP="00926C7E">
            <w:pPr>
              <w:rPr>
                <w:rFonts w:ascii="Work Sans" w:hAnsi="Work Sans"/>
                <w:sz w:val="16"/>
                <w:szCs w:val="16"/>
              </w:rPr>
            </w:pPr>
          </w:p>
        </w:tc>
      </w:tr>
    </w:tbl>
    <w:p w14:paraId="12323E67" w14:textId="77777777" w:rsidR="00FC128E" w:rsidRPr="004466CC" w:rsidRDefault="00FC128E" w:rsidP="00FC128E">
      <w:pPr>
        <w:pStyle w:val="Prrafodelista"/>
        <w:numPr>
          <w:ilvl w:val="0"/>
          <w:numId w:val="1"/>
        </w:numPr>
        <w:spacing w:before="240" w:after="240"/>
        <w:jc w:val="both"/>
        <w:rPr>
          <w:rFonts w:ascii="Work Sans" w:eastAsia="Arial" w:hAnsi="Work Sans" w:cs="Arial"/>
          <w:sz w:val="18"/>
          <w:szCs w:val="18"/>
        </w:rPr>
      </w:pPr>
      <w:r w:rsidRPr="004466CC">
        <w:rPr>
          <w:rFonts w:ascii="Work Sans" w:eastAsia="Arial" w:hAnsi="Work Sans" w:cs="Arial"/>
          <w:sz w:val="18"/>
          <w:szCs w:val="18"/>
        </w:rPr>
        <w:lastRenderedPageBreak/>
        <w:t xml:space="preserve">No se contempla en la comparación: $ 62.698.681 COP de Mantenimiento correctivo recurrente anual y </w:t>
      </w:r>
      <w:r w:rsidRPr="004466CC">
        <w:rPr>
          <w:rFonts w:ascii="Work Sans" w:hAnsi="Work Sans"/>
          <w:sz w:val="20"/>
          <w:szCs w:val="20"/>
        </w:rPr>
        <w:t xml:space="preserve">$ 12.000.000 COP de Reserva Contingente </w:t>
      </w:r>
      <w:r w:rsidRPr="004466CC">
        <w:rPr>
          <w:rFonts w:ascii="Work Sans" w:eastAsia="Arial" w:hAnsi="Work Sans" w:cs="Arial"/>
          <w:sz w:val="18"/>
          <w:szCs w:val="18"/>
        </w:rPr>
        <w:t xml:space="preserve">anual con cargo al fondo AOMP de sostenibilidad </w:t>
      </w:r>
    </w:p>
    <w:p w14:paraId="2C90A047" w14:textId="77777777" w:rsidR="00FC128E" w:rsidRPr="004466CC" w:rsidRDefault="00FC128E" w:rsidP="00FC128E">
      <w:pPr>
        <w:spacing w:before="240" w:after="240"/>
        <w:jc w:val="both"/>
        <w:rPr>
          <w:rFonts w:ascii="Work Sans" w:eastAsia="Arial" w:hAnsi="Work Sans" w:cs="Arial"/>
        </w:rPr>
      </w:pPr>
      <w:r w:rsidRPr="004466CC">
        <w:rPr>
          <w:rFonts w:ascii="Work Sans" w:eastAsia="Arial" w:hAnsi="Work Sans" w:cs="Arial"/>
        </w:rPr>
        <w:t>Ahora bien, tal como se indicó los costos de AOM de las granjas desarrolladas en el marco del programa Energía Solar Población Vulnerable, parten de la estructura del contrato de obra No. 116231-020-2024 suscrito por FENOGE, Dichos costos están previstos para aplicarse a partir del mes 18 de entrada en operación de los proyectos, por lo que resulta necesario incorporar este periodo en la estructuración y proyección del fondo de sostenibilidad. En todo caso, el modelo definitivo de costos deberá integrarse con la metodología de A.O.M. correspondiente a esta fase, la cual aún no ha sido reportada en versión final al Ministerio.</w:t>
      </w:r>
    </w:p>
    <w:p w14:paraId="436199BC" w14:textId="77777777" w:rsidR="00FC128E" w:rsidRPr="004466CC" w:rsidRDefault="00FC128E" w:rsidP="00FC128E">
      <w:pPr>
        <w:spacing w:before="240" w:after="240"/>
        <w:jc w:val="both"/>
        <w:rPr>
          <w:rFonts w:ascii="Work Sans" w:eastAsia="Arial" w:hAnsi="Work Sans" w:cs="Arial"/>
        </w:rPr>
      </w:pPr>
      <w:r w:rsidRPr="004466CC">
        <w:rPr>
          <w:rFonts w:ascii="Work Sans" w:eastAsia="Arial" w:hAnsi="Work Sans" w:cs="Arial"/>
        </w:rPr>
        <w:t>Adicionalmente, el Ministerio de Minas y Energía viene avanzando en la estructuración de una metodología transversal de A.O.M. aplicable a proyectos de autogeneración colectiva y Comunidades Energéticas, orientada a unificar criterios de valoración, reducir asimetrías en la estimación de costos y evitar distorsiones que afecten la sostenibilidad financiera. Esta metodología y sus comentarios, podrá ser considerada como referencia técnica tanto para la presente evaluación como para futuros proyectos.</w:t>
      </w:r>
    </w:p>
    <w:p w14:paraId="1253A840" w14:textId="77777777" w:rsidR="00FC128E" w:rsidRPr="004466CC" w:rsidRDefault="00FC128E" w:rsidP="00FC128E">
      <w:pPr>
        <w:spacing w:before="240" w:after="240"/>
        <w:jc w:val="both"/>
        <w:rPr>
          <w:rFonts w:ascii="Work Sans" w:eastAsia="Arial" w:hAnsi="Work Sans" w:cs="Arial"/>
        </w:rPr>
      </w:pPr>
      <w:r w:rsidRPr="004466CC">
        <w:rPr>
          <w:rFonts w:ascii="Work Sans" w:eastAsia="Arial" w:hAnsi="Work Sans" w:cs="Arial"/>
        </w:rPr>
        <w:t>En este contexto, se propone analizar de manera conjunta, en una mesa de trabajo específica, el esquema de operación a escala promovido por el MME, en el cual la operación centralizada de múltiples granjas solares -mínimo seis proyectos- permita generar eficiencias operativas que deben reflejarse en menores costos unitarios de A.O.M. y, por ende, en una mejora sustancial de la sostenibilidad del modelo</w:t>
      </w:r>
    </w:p>
    <w:p w14:paraId="2E6A68C2" w14:textId="77777777" w:rsidR="00FC128E" w:rsidRPr="004466CC" w:rsidRDefault="00FC128E" w:rsidP="00FC128E">
      <w:pPr>
        <w:spacing w:beforeAutospacing="1" w:afterAutospacing="1" w:line="240" w:lineRule="auto"/>
        <w:jc w:val="both"/>
        <w:rPr>
          <w:rFonts w:ascii="Work Sans" w:eastAsia="Arial" w:hAnsi="Work Sans" w:cs="Arial"/>
          <w:b/>
          <w:bCs/>
        </w:rPr>
      </w:pPr>
      <w:r w:rsidRPr="004466CC">
        <w:rPr>
          <w:rFonts w:ascii="Work Sans" w:eastAsia="Arial" w:hAnsi="Work Sans" w:cs="Arial"/>
          <w:b/>
          <w:bCs/>
        </w:rPr>
        <w:t xml:space="preserve">Impacto sobre las conclusiones trasladadas </w:t>
      </w:r>
    </w:p>
    <w:p w14:paraId="43419538" w14:textId="77777777" w:rsidR="00FC128E" w:rsidRPr="004466CC" w:rsidRDefault="00FC128E" w:rsidP="00FC128E">
      <w:pPr>
        <w:spacing w:before="240" w:after="240"/>
        <w:jc w:val="both"/>
        <w:rPr>
          <w:rFonts w:ascii="Work Sans" w:eastAsia="Arial" w:hAnsi="Work Sans" w:cs="Arial"/>
        </w:rPr>
      </w:pPr>
      <w:r w:rsidRPr="004466CC">
        <w:rPr>
          <w:rFonts w:ascii="Work Sans" w:eastAsia="Arial" w:hAnsi="Work Sans" w:cs="Arial"/>
        </w:rPr>
        <w:t>En consecuencia, la conclusión según la cual el modelo no genera una reducción sustancial en la factura del usuario ni una mejora material en la estructura de subsidios no se deriva de la inviabilidad del esquema AGRC, sino de una modelación basada en supuestos que no corresponden al marco regulatorio ni a la estructura operativa del esquema efectivamente aplicable. Las diferencias identificadas en el ejercicio de FENOGE —particularmente en el tratamiento de créditos energéticos, el Costo Unitario, la definición de consumos, la valoración de excedentes y los costos de A.O.M.— desvirtúan la validez de dicha conclusión.</w:t>
      </w:r>
    </w:p>
    <w:p w14:paraId="46066EC5" w14:textId="77777777" w:rsidR="00FC128E" w:rsidRPr="004466CC" w:rsidRDefault="00FC128E" w:rsidP="00FC128E">
      <w:pPr>
        <w:jc w:val="both"/>
        <w:rPr>
          <w:rFonts w:ascii="Work Sans" w:eastAsia="Arial" w:hAnsi="Work Sans" w:cs="Arial"/>
        </w:rPr>
      </w:pPr>
      <w:r w:rsidRPr="004466CC">
        <w:rPr>
          <w:rFonts w:ascii="Work Sans" w:eastAsia="Arial" w:hAnsi="Work Sans" w:cs="Arial"/>
        </w:rPr>
        <w:lastRenderedPageBreak/>
        <w:t>Por lo tanto, con el fin de asegurar coherencia técnica, económica y regulatoria, la revisión integral del modelo deberá partir del modelo de AGRC propuesto, incorporar expresamente el tratamiento diferenciado de créditos tipo 1 y tipo 2, la correcta reducción del Costo Unitario para usuarios beneficiarios, la separación de flujos económicos entre comunidad energética, comercializador y usuarios, la aplicación adecuada del tratamiento tarifario y subsidios, la incorporación real de economías de escala en AOM, la trazabilidad entre ingresos por excedentes, sostenibilidad operativa y Fondo AOM, así como la consistencia con el esquema de representación comercial y regulación aplicable al esquema de AGRC conforme a la Resolución CREG 101 072 de 2024 y demás resoluciones aplicables.</w:t>
      </w:r>
    </w:p>
    <w:p w14:paraId="7FD444D8" w14:textId="77777777" w:rsidR="00FC128E" w:rsidRPr="004466CC" w:rsidRDefault="00FC128E" w:rsidP="00FC128E">
      <w:pPr>
        <w:jc w:val="both"/>
        <w:rPr>
          <w:rFonts w:ascii="Work Sans" w:eastAsia="Arial" w:hAnsi="Work Sans" w:cs="Arial"/>
        </w:rPr>
      </w:pPr>
      <w:r w:rsidRPr="004466CC">
        <w:rPr>
          <w:rFonts w:ascii="Work Sans" w:eastAsia="Arial" w:hAnsi="Work Sans" w:cs="Arial"/>
        </w:rPr>
        <w:t>La explicación detallada del modelo AGRC promovido por el Ministerio, así como su estructura financiera y regulatoria, se remite como documento técnico anexo para facilitar la revisión conjunta.</w:t>
      </w:r>
    </w:p>
    <w:p w14:paraId="0D62050A" w14:textId="77777777" w:rsidR="00FC128E" w:rsidRPr="004466CC" w:rsidRDefault="00FC128E" w:rsidP="00FC128E">
      <w:pPr>
        <w:jc w:val="both"/>
        <w:rPr>
          <w:rFonts w:ascii="Work Sans" w:eastAsia="Arial" w:hAnsi="Work Sans" w:cs="Arial"/>
        </w:rPr>
      </w:pPr>
      <w:r w:rsidRPr="004466CC">
        <w:rPr>
          <w:rFonts w:ascii="Work Sans" w:eastAsia="Arial" w:hAnsi="Work Sans" w:cs="Arial"/>
        </w:rPr>
        <w:t xml:space="preserve">Desde el Ministerio de Minas y Energía reiteramos que el esquema de AGRC dentro del marco de Comunidades Energéticas constituye el mecanismo que mejor materializa los fines originalmente previstos en la AFPEI “Energía Solar para Población Vulnerable”, al permitir no solo la sostenibilidad del activo y del AOM, sino también la democratización del acceso a la energía, la reducción efectiva de subsidios y el alivio económico para la población vulnerable. </w:t>
      </w:r>
    </w:p>
    <w:p w14:paraId="0467F9C6" w14:textId="77777777" w:rsidR="00FC128E" w:rsidRPr="004466CC" w:rsidRDefault="00FC128E" w:rsidP="00FC128E">
      <w:pPr>
        <w:jc w:val="both"/>
        <w:rPr>
          <w:rFonts w:ascii="Work Sans" w:eastAsia="Arial" w:hAnsi="Work Sans" w:cs="Arial"/>
        </w:rPr>
      </w:pPr>
      <w:r w:rsidRPr="004466CC">
        <w:rPr>
          <w:rFonts w:ascii="Work Sans" w:eastAsia="Arial" w:hAnsi="Work Sans" w:cs="Arial"/>
        </w:rPr>
        <w:t>En ese sentido, consideramos necesario que la evaluación financiera del proyecto se adecúe a dicha arquitectura regulatoria, de manera que las decisiones institucionales que se adopten reflejen correctamente los objetivos del programa y la política pública que lo sustenta.</w:t>
      </w:r>
    </w:p>
    <w:p w14:paraId="23E5C9B1" w14:textId="77777777" w:rsidR="00FC128E" w:rsidRPr="004466CC" w:rsidRDefault="00FC128E" w:rsidP="00FC128E">
      <w:pPr>
        <w:jc w:val="both"/>
        <w:rPr>
          <w:rFonts w:ascii="Work Sans" w:eastAsia="Arial" w:hAnsi="Work Sans" w:cs="Arial"/>
        </w:rPr>
      </w:pPr>
      <w:r w:rsidRPr="004466CC">
        <w:rPr>
          <w:rFonts w:ascii="Work Sans" w:eastAsia="Arial" w:hAnsi="Work Sans" w:cs="Arial"/>
        </w:rPr>
        <w:t>Conforme a lo anterior, el resultado de la actualización del modelo evidencia que adicionalmente al beneficio económico directo para los usuarios finales a nivel de facturación y disminución del subsidio aplicado presentado anteriormente, se observa un comportamiento positivo de los flujos de caja, permitiendo acumular los recursos suficientes para garantizar la reposición mayor de activos en el año 15, además de garantizar recursos adicionales para otras contingencias, este resultado representa un VPN de los flujos de caja de $743.601.187  COP (tasa de descuento del 9%).</w:t>
      </w:r>
    </w:p>
    <w:p w14:paraId="183D37CE" w14:textId="02BABE07" w:rsidR="00484A5A" w:rsidRPr="004466CC" w:rsidRDefault="00FC128E" w:rsidP="004466CC">
      <w:pPr>
        <w:jc w:val="both"/>
        <w:rPr>
          <w:rFonts w:ascii="Work Sans" w:eastAsia="Arial" w:hAnsi="Work Sans" w:cs="Arial"/>
        </w:rPr>
      </w:pPr>
      <w:r w:rsidRPr="004466CC">
        <w:rPr>
          <w:rFonts w:ascii="Work Sans" w:eastAsia="Arial" w:hAnsi="Work Sans" w:cs="Arial"/>
        </w:rPr>
        <w:t>Reiteramos la disposición de est</w:t>
      </w:r>
      <w:r w:rsidR="004466CC">
        <w:rPr>
          <w:rFonts w:ascii="Work Sans" w:eastAsia="Arial" w:hAnsi="Work Sans" w:cs="Arial"/>
        </w:rPr>
        <w:t xml:space="preserve">e ministerio </w:t>
      </w:r>
      <w:r w:rsidRPr="004466CC">
        <w:rPr>
          <w:rFonts w:ascii="Work Sans" w:eastAsia="Arial" w:hAnsi="Work Sans" w:cs="Arial"/>
        </w:rPr>
        <w:t xml:space="preserve">para continuar acompañando técnicamente el proceso y avanzar de manera articulada en la consolidación de un </w:t>
      </w:r>
      <w:r w:rsidRPr="004466CC">
        <w:rPr>
          <w:rFonts w:ascii="Work Sans" w:eastAsia="Arial" w:hAnsi="Work Sans" w:cs="Arial"/>
        </w:rPr>
        <w:lastRenderedPageBreak/>
        <w:t>modelo replicable, sostenible y consistente con los lineamientos de la Transición Energética Justa.</w:t>
      </w:r>
    </w:p>
    <w:p w14:paraId="7F631C2F" w14:textId="79B6CD56" w:rsidR="00484A5A" w:rsidRPr="004466CC" w:rsidRDefault="00484A5A" w:rsidP="00484A5A">
      <w:pPr>
        <w:spacing w:line="240" w:lineRule="auto"/>
        <w:ind w:right="51"/>
        <w:contextualSpacing/>
        <w:jc w:val="both"/>
        <w:rPr>
          <w:rFonts w:ascii="Work Sans" w:hAnsi="Work Sans" w:cs="Arial"/>
          <w:sz w:val="24"/>
        </w:rPr>
      </w:pPr>
      <w:r w:rsidRPr="004466CC">
        <w:rPr>
          <w:rFonts w:ascii="Work Sans" w:hAnsi="Work Sans" w:cs="Arial"/>
          <w:sz w:val="24"/>
        </w:rPr>
        <w:t>Cordialmente,</w:t>
      </w:r>
    </w:p>
    <w:p w14:paraId="587D12C3" w14:textId="77777777" w:rsidR="00DE1913" w:rsidRPr="004466CC" w:rsidRDefault="00DE1913">
      <w:pPr>
        <w:spacing w:line="240" w:lineRule="auto"/>
        <w:ind w:right="51"/>
        <w:contextualSpacing/>
        <w:jc w:val="both"/>
        <w:rPr>
          <w:rFonts w:ascii="Work Sans" w:hAnsi="Work Sans" w:cs="Arial"/>
          <w:sz w:val="24"/>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rsidRPr="004466CC" w14:paraId="781C9F6C" w14:textId="77777777">
        <w:tc>
          <w:tcPr>
            <w:tcW w:w="8789" w:type="dxa"/>
            <w:gridSpan w:val="2"/>
          </w:tcPr>
          <w:p w14:paraId="5145A6CB" w14:textId="77777777" w:rsidR="00DE1913" w:rsidRPr="004466CC" w:rsidRDefault="003B2B73">
            <w:pPr>
              <w:widowControl w:val="0"/>
              <w:spacing w:after="0"/>
              <w:rPr>
                <w:rFonts w:ascii="Work Sans" w:hAnsi="Work Sans"/>
                <w:sz w:val="24"/>
                <w:szCs w:val="24"/>
              </w:rPr>
            </w:pPr>
            <w:proofErr w:type="spellStart"/>
            <w:r w:rsidRPr="004466CC">
              <w:rPr>
                <w:rFonts w:ascii="Work Sans" w:hAnsi="Work Sans" w:cs="Arial"/>
                <w:sz w:val="24"/>
                <w:szCs w:val="24"/>
              </w:rPr>
              <w:t>Tabla_Firmantes</w:t>
            </w:r>
            <w:proofErr w:type="spellEnd"/>
          </w:p>
        </w:tc>
      </w:tr>
      <w:tr w:rsidR="00DE1913" w:rsidRPr="004466CC" w14:paraId="37C4CDA5" w14:textId="77777777">
        <w:tc>
          <w:tcPr>
            <w:tcW w:w="4380" w:type="dxa"/>
          </w:tcPr>
          <w:p w14:paraId="7D1CDEBA" w14:textId="77777777" w:rsidR="00DE1913" w:rsidRPr="004466CC" w:rsidRDefault="00DE1913">
            <w:pPr>
              <w:widowControl w:val="0"/>
              <w:spacing w:after="0"/>
              <w:rPr>
                <w:rFonts w:ascii="Work Sans ExtraLight" w:hAnsi="Work Sans ExtraLight"/>
              </w:rPr>
            </w:pPr>
          </w:p>
        </w:tc>
        <w:tc>
          <w:tcPr>
            <w:tcW w:w="4409" w:type="dxa"/>
          </w:tcPr>
          <w:p w14:paraId="5799865F" w14:textId="77777777" w:rsidR="00DE1913" w:rsidRPr="004466CC" w:rsidRDefault="00DE1913">
            <w:pPr>
              <w:widowControl w:val="0"/>
              <w:spacing w:after="0"/>
              <w:rPr>
                <w:rFonts w:ascii="Work Sans ExtraLight" w:hAnsi="Work Sans ExtraLight"/>
              </w:rPr>
            </w:pPr>
          </w:p>
        </w:tc>
      </w:tr>
      <w:tr w:rsidR="00DE1913" w:rsidRPr="004466CC" w14:paraId="4D903A80" w14:textId="77777777">
        <w:tc>
          <w:tcPr>
            <w:tcW w:w="4380" w:type="dxa"/>
          </w:tcPr>
          <w:p w14:paraId="1411F255" w14:textId="77777777" w:rsidR="00DE1913" w:rsidRPr="004466CC" w:rsidRDefault="00DE1913">
            <w:pPr>
              <w:widowControl w:val="0"/>
              <w:spacing w:after="0"/>
              <w:rPr>
                <w:rFonts w:ascii="Work Sans ExtraLight" w:hAnsi="Work Sans ExtraLight"/>
              </w:rPr>
            </w:pPr>
          </w:p>
        </w:tc>
        <w:tc>
          <w:tcPr>
            <w:tcW w:w="4409" w:type="dxa"/>
          </w:tcPr>
          <w:p w14:paraId="0F8A73FC" w14:textId="77777777" w:rsidR="00DE1913" w:rsidRPr="004466CC" w:rsidRDefault="00DE1913">
            <w:pPr>
              <w:widowControl w:val="0"/>
              <w:spacing w:after="0"/>
              <w:rPr>
                <w:rFonts w:ascii="Work Sans ExtraLight" w:hAnsi="Work Sans ExtraLight"/>
              </w:rPr>
            </w:pPr>
          </w:p>
        </w:tc>
      </w:tr>
    </w:tbl>
    <w:p w14:paraId="312123EE" w14:textId="77777777" w:rsidR="00DE1913" w:rsidRPr="004466CC" w:rsidRDefault="003B2B73">
      <w:pPr>
        <w:spacing w:after="0"/>
        <w:rPr>
          <w:rFonts w:ascii="Work Sans" w:hAnsi="Work Sans"/>
          <w:sz w:val="16"/>
          <w:szCs w:val="16"/>
        </w:rPr>
      </w:pPr>
      <w:proofErr w:type="spellStart"/>
      <w:r w:rsidRPr="004466CC">
        <w:rPr>
          <w:rFonts w:ascii="Work Sans" w:hAnsi="Work Sans"/>
          <w:sz w:val="16"/>
          <w:szCs w:val="16"/>
        </w:rPr>
        <w:t>ley_texto</w:t>
      </w:r>
      <w:proofErr w:type="spellEnd"/>
    </w:p>
    <w:p w14:paraId="5F6C3CB9" w14:textId="77777777" w:rsidR="00DE1913" w:rsidRPr="004466CC" w:rsidRDefault="003B2B73">
      <w:pPr>
        <w:spacing w:after="0"/>
        <w:rPr>
          <w:rFonts w:ascii="Work Sans" w:hAnsi="Work Sans"/>
          <w:sz w:val="16"/>
          <w:szCs w:val="16"/>
        </w:rPr>
      </w:pPr>
      <w:proofErr w:type="spellStart"/>
      <w:r w:rsidRPr="004466CC">
        <w:rPr>
          <w:rFonts w:ascii="Work Sans" w:hAnsi="Work Sans"/>
          <w:sz w:val="16"/>
          <w:szCs w:val="16"/>
        </w:rPr>
        <w:t>copias_r</w:t>
      </w:r>
      <w:proofErr w:type="spellEnd"/>
      <w:r w:rsidRPr="004466CC">
        <w:rPr>
          <w:rFonts w:ascii="Work Sans" w:hAnsi="Work Sans"/>
          <w:sz w:val="16"/>
          <w:szCs w:val="16"/>
        </w:rPr>
        <w:t xml:space="preserve"> </w:t>
      </w:r>
    </w:p>
    <w:p w14:paraId="56626830" w14:textId="77777777" w:rsidR="00DE1913" w:rsidRPr="004466CC" w:rsidRDefault="003B2B73">
      <w:pPr>
        <w:spacing w:after="0"/>
        <w:rPr>
          <w:rFonts w:ascii="Work Sans" w:hAnsi="Work Sans"/>
          <w:sz w:val="16"/>
          <w:szCs w:val="16"/>
        </w:rPr>
      </w:pPr>
      <w:proofErr w:type="spellStart"/>
      <w:r w:rsidRPr="004466CC">
        <w:rPr>
          <w:rFonts w:ascii="Work Sans" w:eastAsia="Times New Roman" w:hAnsi="Work Sans" w:cs="Times New Roman"/>
          <w:spacing w:val="-3"/>
          <w:sz w:val="16"/>
          <w:szCs w:val="16"/>
          <w:lang w:val="es-ES_tradnl" w:eastAsia="es-ES"/>
        </w:rPr>
        <w:t>rad_padre</w:t>
      </w:r>
      <w:proofErr w:type="spellEnd"/>
    </w:p>
    <w:p w14:paraId="1843D142" w14:textId="77777777" w:rsidR="00DE1913" w:rsidRPr="004466CC" w:rsidRDefault="003B2B73">
      <w:pPr>
        <w:spacing w:after="0"/>
        <w:rPr>
          <w:rFonts w:ascii="Work Sans" w:hAnsi="Work Sans"/>
          <w:sz w:val="16"/>
          <w:szCs w:val="16"/>
        </w:rPr>
      </w:pPr>
      <w:proofErr w:type="spellStart"/>
      <w:r w:rsidRPr="004466CC">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sidRPr="004466CC">
        <w:rPr>
          <w:rFonts w:ascii="Work Sans" w:hAnsi="Work Sans"/>
          <w:sz w:val="16"/>
          <w:szCs w:val="16"/>
        </w:rPr>
        <w:t xml:space="preserve">Elaboró: </w:t>
      </w:r>
      <w:proofErr w:type="spellStart"/>
      <w:r w:rsidRPr="004466CC">
        <w:rPr>
          <w:rFonts w:ascii="Work Sans" w:hAnsi="Work Sans"/>
          <w:sz w:val="16"/>
          <w:szCs w:val="16"/>
        </w:rPr>
        <w:t>res_proyecto</w:t>
      </w:r>
      <w:proofErr w:type="spellEnd"/>
      <w:r w:rsidRPr="004466CC">
        <w:rPr>
          <w:rFonts w:ascii="Work Sans" w:hAnsi="Work Sans"/>
          <w:sz w:val="16"/>
          <w:szCs w:val="16"/>
          <w:lang w:val="es-ES"/>
        </w:rPr>
        <w:br/>
      </w:r>
      <w:r w:rsidRPr="004466CC">
        <w:rPr>
          <w:rFonts w:ascii="Work Sans" w:hAnsi="Work Sans"/>
          <w:sz w:val="16"/>
          <w:szCs w:val="16"/>
        </w:rPr>
        <w:t xml:space="preserve">Revisó: </w:t>
      </w:r>
      <w:proofErr w:type="spellStart"/>
      <w:r w:rsidRPr="004466CC">
        <w:rPr>
          <w:rFonts w:ascii="Work Sans" w:hAnsi="Work Sans"/>
          <w:sz w:val="16"/>
          <w:szCs w:val="16"/>
        </w:rPr>
        <w:t>res_reviso</w:t>
      </w:r>
      <w:proofErr w:type="spellEnd"/>
      <w:r w:rsidRPr="004466CC">
        <w:rPr>
          <w:rFonts w:ascii="Work Sans" w:hAnsi="Work Sans"/>
          <w:sz w:val="16"/>
          <w:szCs w:val="16"/>
        </w:rPr>
        <w:br/>
        <w:t xml:space="preserve">Aprobó: </w:t>
      </w:r>
      <w:proofErr w:type="spellStart"/>
      <w:r w:rsidRPr="004466CC">
        <w:rPr>
          <w:rFonts w:ascii="Work Sans" w:hAnsi="Work Sans"/>
          <w:sz w:val="16"/>
          <w:szCs w:val="16"/>
        </w:rPr>
        <w:t>res_aprobacion</w:t>
      </w:r>
      <w:proofErr w:type="spellEnd"/>
    </w:p>
    <w:sectPr w:rsidR="00DE1913">
      <w:headerReference w:type="default" r:id="rId9"/>
      <w:footerReference w:type="default" r:id="rId10"/>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48915" w14:textId="77777777" w:rsidR="00CF3459" w:rsidRDefault="00CF3459">
      <w:pPr>
        <w:spacing w:after="0" w:line="240" w:lineRule="auto"/>
      </w:pPr>
      <w:r>
        <w:separator/>
      </w:r>
    </w:p>
  </w:endnote>
  <w:endnote w:type="continuationSeparator" w:id="0">
    <w:p w14:paraId="505C3404" w14:textId="77777777" w:rsidR="00CF3459" w:rsidRDefault="00CF34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4586D" w14:textId="77777777" w:rsidR="00CF3459" w:rsidRDefault="00CF3459">
      <w:pPr>
        <w:spacing w:after="0" w:line="240" w:lineRule="auto"/>
      </w:pPr>
      <w:r>
        <w:separator/>
      </w:r>
    </w:p>
  </w:footnote>
  <w:footnote w:type="continuationSeparator" w:id="0">
    <w:p w14:paraId="17F497AC" w14:textId="77777777" w:rsidR="00CF3459" w:rsidRDefault="00CF34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76DA4"/>
    <w:multiLevelType w:val="hybridMultilevel"/>
    <w:tmpl w:val="FF16A322"/>
    <w:lvl w:ilvl="0" w:tplc="37A04F0C">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6D50AB12"/>
    <w:multiLevelType w:val="hybridMultilevel"/>
    <w:tmpl w:val="DCD67704"/>
    <w:lvl w:ilvl="0" w:tplc="474492D8">
      <w:start w:val="1"/>
      <w:numFmt w:val="decimal"/>
      <w:lvlText w:val="(%1)"/>
      <w:lvlJc w:val="left"/>
      <w:pPr>
        <w:ind w:left="720" w:hanging="360"/>
      </w:pPr>
    </w:lvl>
    <w:lvl w:ilvl="1" w:tplc="D5D27B56">
      <w:start w:val="1"/>
      <w:numFmt w:val="lowerLetter"/>
      <w:lvlText w:val="%2."/>
      <w:lvlJc w:val="left"/>
      <w:pPr>
        <w:ind w:left="1440" w:hanging="360"/>
      </w:pPr>
    </w:lvl>
    <w:lvl w:ilvl="2" w:tplc="FDB49BB0">
      <w:start w:val="1"/>
      <w:numFmt w:val="lowerRoman"/>
      <w:lvlText w:val="%3."/>
      <w:lvlJc w:val="right"/>
      <w:pPr>
        <w:ind w:left="2160" w:hanging="180"/>
      </w:pPr>
    </w:lvl>
    <w:lvl w:ilvl="3" w:tplc="141AAF5A">
      <w:start w:val="1"/>
      <w:numFmt w:val="decimal"/>
      <w:lvlText w:val="%4."/>
      <w:lvlJc w:val="left"/>
      <w:pPr>
        <w:ind w:left="2880" w:hanging="360"/>
      </w:pPr>
    </w:lvl>
    <w:lvl w:ilvl="4" w:tplc="B2DE5DAE">
      <w:start w:val="1"/>
      <w:numFmt w:val="lowerLetter"/>
      <w:lvlText w:val="%5."/>
      <w:lvlJc w:val="left"/>
      <w:pPr>
        <w:ind w:left="3600" w:hanging="360"/>
      </w:pPr>
    </w:lvl>
    <w:lvl w:ilvl="5" w:tplc="35B84C30">
      <w:start w:val="1"/>
      <w:numFmt w:val="lowerRoman"/>
      <w:lvlText w:val="%6."/>
      <w:lvlJc w:val="right"/>
      <w:pPr>
        <w:ind w:left="4320" w:hanging="180"/>
      </w:pPr>
    </w:lvl>
    <w:lvl w:ilvl="6" w:tplc="23246A2A">
      <w:start w:val="1"/>
      <w:numFmt w:val="decimal"/>
      <w:lvlText w:val="%7."/>
      <w:lvlJc w:val="left"/>
      <w:pPr>
        <w:ind w:left="5040" w:hanging="360"/>
      </w:pPr>
    </w:lvl>
    <w:lvl w:ilvl="7" w:tplc="36EEA69C">
      <w:start w:val="1"/>
      <w:numFmt w:val="lowerLetter"/>
      <w:lvlText w:val="%8."/>
      <w:lvlJc w:val="left"/>
      <w:pPr>
        <w:ind w:left="5760" w:hanging="360"/>
      </w:pPr>
    </w:lvl>
    <w:lvl w:ilvl="8" w:tplc="5178B8D4">
      <w:start w:val="1"/>
      <w:numFmt w:val="lowerRoman"/>
      <w:lvlText w:val="%9."/>
      <w:lvlJc w:val="right"/>
      <w:pPr>
        <w:ind w:left="6480" w:hanging="180"/>
      </w:pPr>
    </w:lvl>
  </w:abstractNum>
  <w:num w:numId="1" w16cid:durableId="1394237997">
    <w:abstractNumId w:val="1"/>
  </w:num>
  <w:num w:numId="2" w16cid:durableId="2552106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1818F1"/>
    <w:rsid w:val="002478C2"/>
    <w:rsid w:val="00262ACE"/>
    <w:rsid w:val="003121A9"/>
    <w:rsid w:val="003B2B73"/>
    <w:rsid w:val="004466CC"/>
    <w:rsid w:val="00484A5A"/>
    <w:rsid w:val="00496E70"/>
    <w:rsid w:val="005225C6"/>
    <w:rsid w:val="005617AA"/>
    <w:rsid w:val="005646C4"/>
    <w:rsid w:val="00615C78"/>
    <w:rsid w:val="00640E5A"/>
    <w:rsid w:val="00766D00"/>
    <w:rsid w:val="007A5A72"/>
    <w:rsid w:val="00830730"/>
    <w:rsid w:val="00892C0E"/>
    <w:rsid w:val="008E4ABF"/>
    <w:rsid w:val="009359F1"/>
    <w:rsid w:val="00981241"/>
    <w:rsid w:val="009E5228"/>
    <w:rsid w:val="00A3590E"/>
    <w:rsid w:val="00A86526"/>
    <w:rsid w:val="00AD43C1"/>
    <w:rsid w:val="00B4250F"/>
    <w:rsid w:val="00B51607"/>
    <w:rsid w:val="00C0455B"/>
    <w:rsid w:val="00CF3459"/>
    <w:rsid w:val="00DC7B37"/>
    <w:rsid w:val="00DE1913"/>
    <w:rsid w:val="00E113E2"/>
    <w:rsid w:val="00E37AC0"/>
    <w:rsid w:val="00E823F2"/>
    <w:rsid w:val="00EB3862"/>
    <w:rsid w:val="00F80A1F"/>
    <w:rsid w:val="00F94C11"/>
    <w:rsid w:val="00FA439A"/>
    <w:rsid w:val="00FC128E"/>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FC128E"/>
    <w:pPr>
      <w:suppressAutoHyphens w:val="0"/>
      <w:spacing w:after="160" w:line="278" w:lineRule="auto"/>
      <w:ind w:left="720"/>
      <w:contextualSpacing/>
    </w:pPr>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13</Pages>
  <Words>4142</Words>
  <Characters>22785</Characters>
  <Application>Microsoft Office Word</Application>
  <DocSecurity>0</DocSecurity>
  <Lines>189</Lines>
  <Paragraphs>53</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26874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JUAN CARLOS AGREDA BOTINA</cp:lastModifiedBy>
  <cp:revision>3</cp:revision>
  <dcterms:created xsi:type="dcterms:W3CDTF">2026-05-04T21:55:00Z</dcterms:created>
  <dcterms:modified xsi:type="dcterms:W3CDTF">2026-05-04T22:08:00Z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